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 w:hAnsi="仿宋" w:eastAsia="仿宋" w:cs="仿宋"/>
          <w:b/>
          <w:bCs/>
          <w:color w:val="FF0000"/>
          <w:w w:val="90"/>
          <w:kern w:val="16"/>
          <w:sz w:val="32"/>
          <w:szCs w:val="32"/>
        </w:rPr>
      </w:pPr>
    </w:p>
    <w:p>
      <w:pPr>
        <w:jc w:val="distribute"/>
        <w:rPr>
          <w:rFonts w:ascii="Times New Roman" w:hAnsi="Times New Roman" w:eastAsia="方正小标宋_GBK"/>
          <w:b/>
          <w:bCs/>
          <w:color w:val="FF0000"/>
          <w:sz w:val="32"/>
          <w:szCs w:val="32"/>
        </w:rPr>
      </w:pPr>
    </w:p>
    <w:p>
      <w:pPr>
        <w:spacing w:line="0" w:lineRule="atLeast"/>
        <w:ind w:firstLine="1600" w:firstLineChars="800"/>
        <w:rPr>
          <w:rFonts w:ascii="Times New Roman" w:hAnsi="Times New Roman" w:eastAsia="仿宋_GB2312"/>
          <w:sz w:val="20"/>
          <w:szCs w:val="20"/>
        </w:rPr>
      </w:pPr>
    </w:p>
    <w:p>
      <w:pPr>
        <w:spacing w:line="0" w:lineRule="atLeast"/>
        <w:jc w:val="center"/>
        <w:rPr>
          <w:rFonts w:ascii="Times New Roman" w:hAnsi="Times New Roman" w:eastAsia="仿宋_GB2312"/>
          <w:sz w:val="32"/>
          <w:szCs w:val="32"/>
          <w:highlight w:val="yellow"/>
        </w:rPr>
      </w:pPr>
      <w:r>
        <w:rPr>
          <w:rFonts w:ascii="Times New Roman" w:hAnsi="Times New Roman" w:eastAsia="仿宋_GB2312"/>
          <w:sz w:val="32"/>
          <w:szCs w:val="32"/>
        </w:rPr>
        <w:t>临环审〔202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号</w:t>
      </w:r>
    </w:p>
    <w:p>
      <w:pPr>
        <w:spacing w:line="0" w:lineRule="atLeast"/>
        <w:jc w:val="center"/>
        <w:rPr>
          <w:rFonts w:ascii="Times New Roman" w:hAnsi="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临沧市生态环境局关于110kV沧源（沧源工业园区）输变电工程环境影响报告表的批复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云南电网有限责任公司临沧供电局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你公司申请报批的《</w:t>
      </w:r>
      <w:r>
        <w:rPr>
          <w:rFonts w:hint="default" w:ascii="Times New Roman" w:hAnsi="Times New Roman" w:eastAsia="仿宋_GB2312" w:cs="Times New Roman"/>
          <w:sz w:val="32"/>
          <w:szCs w:val="32"/>
          <w:lang w:val="en-US" w:eastAsia="zh-CN"/>
        </w:rPr>
        <w:t>110kV沧源（沧源工业园区）输变电工程环境影响报告表</w:t>
      </w:r>
      <w:r>
        <w:rPr>
          <w:rFonts w:hint="default" w:ascii="Times New Roman" w:hAnsi="Times New Roman" w:eastAsia="仿宋_GB2312" w:cs="Times New Roman"/>
          <w:sz w:val="32"/>
          <w:szCs w:val="32"/>
        </w:rPr>
        <w:t>》（以下简称《报告表》）收悉。现批复如下：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该</w:t>
      </w:r>
      <w:r>
        <w:rPr>
          <w:rFonts w:hint="default" w:ascii="Times New Roman" w:hAnsi="Times New Roman" w:eastAsia="仿宋_GB2312" w:cs="仿宋_GB2312"/>
          <w:color w:val="000000"/>
          <w:kern w:val="2"/>
          <w:sz w:val="32"/>
          <w:szCs w:val="32"/>
          <w:lang w:val="en-US" w:eastAsia="zh-CN" w:bidi="ar"/>
        </w:rPr>
        <w:t>线路工程</w:t>
      </w:r>
      <w:r>
        <w:rPr>
          <w:rFonts w:hint="eastAsia" w:ascii="Times New Roman" w:hAnsi="Times New Roman" w:eastAsia="仿宋_GB2312" w:cs="仿宋_GB2312"/>
          <w:color w:val="000000"/>
          <w:kern w:val="2"/>
          <w:sz w:val="32"/>
          <w:szCs w:val="32"/>
          <w:lang w:val="en-US" w:eastAsia="zh-CN" w:bidi="ar"/>
        </w:rPr>
        <w:t>位于</w:t>
      </w:r>
      <w:r>
        <w:rPr>
          <w:rFonts w:hint="default" w:ascii="Times New Roman" w:hAnsi="Times New Roman" w:eastAsia="仿宋_GB2312" w:cs="仿宋_GB2312"/>
          <w:color w:val="000000"/>
          <w:kern w:val="2"/>
          <w:sz w:val="32"/>
          <w:szCs w:val="32"/>
          <w:lang w:val="en-US" w:eastAsia="zh-CN" w:bidi="ar"/>
        </w:rPr>
        <w:t>云南省临沧市沧源佤族自治县。本项目主要为工业园区并网接入系统工程。</w:t>
      </w:r>
      <w:r>
        <w:rPr>
          <w:rFonts w:hint="default" w:ascii="Times New Roman" w:hAnsi="Times New Roman" w:eastAsia="仿宋_GB2312" w:cs="仿宋_GB2312"/>
          <w:kern w:val="2"/>
          <w:sz w:val="32"/>
          <w:szCs w:val="32"/>
          <w:lang w:val="en-US" w:eastAsia="zh-CN" w:bidi="ar"/>
        </w:rPr>
        <w:t>本项目组成包括110kV</w:t>
      </w:r>
      <w:r>
        <w:rPr>
          <w:rFonts w:hint="eastAsia" w:ascii="Times New Roman" w:hAnsi="Times New Roman" w:eastAsia="仿宋_GB2312" w:cs="仿宋_GB2312"/>
          <w:kern w:val="2"/>
          <w:sz w:val="32"/>
          <w:szCs w:val="32"/>
          <w:lang w:val="en-US" w:eastAsia="zh-CN" w:bidi="ar"/>
        </w:rPr>
        <w:t>园区</w:t>
      </w:r>
      <w:r>
        <w:rPr>
          <w:rFonts w:hint="default" w:ascii="Times New Roman" w:hAnsi="Times New Roman" w:eastAsia="仿宋_GB2312" w:cs="仿宋_GB2312"/>
          <w:kern w:val="2"/>
          <w:sz w:val="32"/>
          <w:szCs w:val="32"/>
          <w:lang w:val="en-US" w:eastAsia="zh-CN" w:bidi="ar"/>
        </w:rPr>
        <w:t>变电站</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val="en-US" w:eastAsia="zh-CN" w:bidi="ar"/>
        </w:rPr>
        <w:t>新建110kV</w:t>
      </w:r>
      <w:r>
        <w:rPr>
          <w:rFonts w:hint="eastAsia" w:ascii="Times New Roman" w:hAnsi="Times New Roman" w:eastAsia="仿宋_GB2312" w:cs="仿宋_GB2312"/>
          <w:kern w:val="2"/>
          <w:sz w:val="32"/>
          <w:szCs w:val="32"/>
          <w:lang w:val="en-US" w:eastAsia="zh-CN" w:bidi="ar"/>
        </w:rPr>
        <w:t>、1</w:t>
      </w:r>
      <w:r>
        <w:rPr>
          <w:rFonts w:hint="default" w:ascii="Times New Roman" w:hAnsi="Times New Roman" w:eastAsia="仿宋_GB2312" w:cs="仿宋_GB2312"/>
          <w:kern w:val="2"/>
          <w:sz w:val="32"/>
          <w:szCs w:val="32"/>
          <w:lang w:val="en-US" w:eastAsia="zh-CN" w:bidi="ar"/>
        </w:rPr>
        <w:t>0kV线路工程</w:t>
      </w:r>
      <w:r>
        <w:rPr>
          <w:rFonts w:hint="eastAsia" w:ascii="Times New Roman" w:hAnsi="Times New Roman" w:eastAsia="仿宋_GB2312" w:cs="仿宋_GB2312"/>
          <w:kern w:val="2"/>
          <w:sz w:val="32"/>
          <w:szCs w:val="32"/>
          <w:lang w:val="en-US" w:eastAsia="zh-CN" w:bidi="ar"/>
        </w:rPr>
        <w:t>。变电站新建2回110kV线路接入220kV佤山变和110kV勐董变，线路总长度为11.5km；新建10kV线路7回（①10kV沧源工业园变～环网线T芒勐支线N20号杆；②10kV沧源工业园变～司岗里Ⅰ回线TⅠ环线永和1.2组支线；③10kV沧源工业园变～上永和口岸线72号杆；④10kV沧源工业园变～上永和口岸线74号杆；⑤10kV沧源工业园变～司岗里Ⅰ回线TⅠ环线永和五组分支线；⑥10kV沧源工业园变～司岗里Ⅱ回线 TⅢ环支线 75 号杆；⑦10kV沧源工业园变～广良线T井肥线芒摆支线）。</w:t>
      </w:r>
      <w:r>
        <w:rPr>
          <w:rFonts w:hint="default" w:ascii="仿宋_GB2312" w:hAnsi="仿宋_GB2312" w:eastAsia="仿宋_GB2312" w:cs="仿宋_GB2312"/>
          <w:color w:val="auto"/>
          <w:sz w:val="32"/>
          <w:szCs w:val="32"/>
        </w:rPr>
        <w:t>项目总投资为9097万元，本项目环保投资约129万元，占总投资的1.42%</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LineNumbers w:val="0"/>
        <w:tabs>
          <w:tab w:val="right" w:pos="1064"/>
        </w:tabs>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kern w:val="2"/>
          <w:sz w:val="32"/>
          <w:szCs w:val="32"/>
          <w:lang w:val="en-US" w:eastAsia="zh-CN" w:bidi="ar"/>
        </w:rPr>
        <w:t>该《报告表》可作为该项目环境保护设计、建设、验收和运行环境管理的依据。项目建设符合国家及云南省对建设项目环境影响评价文件审批的有关</w:t>
      </w:r>
      <w:r>
        <w:rPr>
          <w:rFonts w:hint="eastAsia" w:ascii="仿宋_GB2312" w:hAnsi="仿宋_GB2312" w:eastAsia="仿宋_GB2312" w:cs="仿宋_GB2312"/>
          <w:color w:val="auto"/>
          <w:sz w:val="32"/>
          <w:szCs w:val="32"/>
        </w:rPr>
        <w:t>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sz w:val="32"/>
          <w:szCs w:val="32"/>
        </w:rPr>
        <w:t>项目建设必须严格执行</w:t>
      </w:r>
      <w:r>
        <w:rPr>
          <w:rFonts w:hint="default" w:ascii="Times New Roman" w:hAnsi="Times New Roman" w:eastAsia="仿宋_GB2312" w:cs="Times New Roman"/>
          <w:color w:val="auto"/>
          <w:sz w:val="32"/>
          <w:szCs w:val="32"/>
          <w:lang w:val="en-US" w:eastAsia="zh-CN"/>
        </w:rPr>
        <w:t>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年未开工建设，环境影响评价文件应当报临沧市生态环境局重新审核。</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沧源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严格按照《建设项目竣工环境保护验收暂行办法》有关规定，组织对配套建设的环境保护设施进行验收，并将相关信息向社会公开，同时将上述信息报送市生态环境局沧源分局。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沧源</w:t>
      </w:r>
      <w:r>
        <w:rPr>
          <w:rFonts w:hint="eastAsia" w:ascii="仿宋_GB2312" w:hAnsi="仿宋_GB2312" w:eastAsia="仿宋_GB2312" w:cs="仿宋_GB2312"/>
          <w:sz w:val="32"/>
          <w:szCs w:val="32"/>
        </w:rPr>
        <w:t>分局要切实履行属地监管职责，按照相关法律法规及《关于进一步完善建设项目环境保护“三同时”及竣工环境保护自主验收监管工作机制的意见》（环执法</w:t>
      </w:r>
      <w:r>
        <w:rPr>
          <w:rFonts w:hint="default" w:ascii="Times New Roman" w:hAnsi="Times New Roman" w:eastAsia="仿宋_GB2312" w:cs="Times New Roman"/>
          <w:sz w:val="32"/>
          <w:szCs w:val="32"/>
        </w:rPr>
        <w:t>〔2021〕70号</w:t>
      </w:r>
      <w:r>
        <w:rPr>
          <w:rFonts w:hint="eastAsia" w:ascii="仿宋_GB2312" w:hAnsi="仿宋_GB2312" w:eastAsia="仿宋_GB2312" w:cs="仿宋_GB2312"/>
          <w:sz w:val="32"/>
          <w:szCs w:val="32"/>
        </w:rPr>
        <w:t>）要求，加强对该项目环境保护“三同时”及自主验收监管。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highlight w:val="yellow"/>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p>
    <w:p>
      <w:pPr>
        <w:rPr>
          <w:rFonts w:hint="default" w:ascii="Times New Roman" w:hAnsi="Times New Roman" w:eastAsia="仿宋_GB2312" w:cs="Times New Roman"/>
        </w:rPr>
      </w:pPr>
    </w:p>
    <w:p>
      <w:pPr>
        <w:pStyle w:val="4"/>
        <w:ind w:left="0" w:leftChars="0" w:firstLine="0" w:firstLineChars="0"/>
        <w:rPr>
          <w:rFonts w:hint="eastAsia" w:ascii="仿宋_GB2312" w:hAnsi="仿宋_GB2312" w:eastAsia="仿宋_GB2312" w:cs="仿宋_GB2312"/>
          <w:kern w:val="2"/>
          <w:sz w:val="24"/>
          <w:szCs w:val="24"/>
          <w:lang w:val="en-US" w:eastAsia="zh-CN" w:bidi="ar-SA"/>
        </w:rPr>
      </w:pPr>
    </w:p>
    <w:p/>
    <w:p/>
    <w:p/>
    <w:p/>
    <w:p/>
    <w:p/>
    <w:p/>
    <w:p/>
    <w:p>
      <w:pPr>
        <w:pStyle w:val="2"/>
      </w:pPr>
    </w:p>
    <w:p/>
    <w:p>
      <w:pPr>
        <w:pStyle w:val="2"/>
      </w:pPr>
    </w:p>
    <w:p/>
    <w:p>
      <w:pPr>
        <w:pStyle w:val="2"/>
      </w:pPr>
    </w:p>
    <w:p/>
    <w:p>
      <w:pPr>
        <w:pStyle w:val="2"/>
      </w:pPr>
    </w:p>
    <w:p/>
    <w:p>
      <w:pPr>
        <w:pStyle w:val="2"/>
      </w:pPr>
    </w:p>
    <w:p/>
    <w:p>
      <w:pPr>
        <w:pStyle w:val="2"/>
      </w:pPr>
    </w:p>
    <w:p/>
    <w:p>
      <w:pPr>
        <w:pStyle w:val="2"/>
      </w:pPr>
    </w:p>
    <w:tbl>
      <w:tblPr>
        <w:tblStyle w:val="7"/>
        <w:tblpPr w:leftFromText="180" w:rightFromText="180" w:vertAnchor="text" w:horzAnchor="page" w:tblpX="1642" w:tblpY="6190"/>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95" w:hRule="atLeast"/>
        </w:trPr>
        <w:tc>
          <w:tcPr>
            <w:tcW w:w="9173" w:type="dxa"/>
            <w:tcBorders>
              <w:top w:val="single" w:color="auto" w:sz="4" w:space="0"/>
              <w:left w:val="nil"/>
              <w:bottom w:val="single" w:color="auto" w:sz="4" w:space="0"/>
              <w:right w:val="nil"/>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0" w:lineRule="atLeast"/>
              <w:ind w:left="1084" w:leftChars="116" w:right="0" w:hanging="840" w:hangingChars="300"/>
              <w:textAlignment w:val="auto"/>
              <w:rPr>
                <w:rFonts w:hint="eastAsia" w:ascii="仿宋_GB2312" w:hAnsi="仿宋_GB2312" w:eastAsia="仿宋_GB2312" w:cs="仿宋_GB2312"/>
                <w:kern w:val="2"/>
                <w:sz w:val="21"/>
                <w:lang w:val="en-US" w:eastAsia="zh-CN"/>
              </w:rPr>
            </w:pPr>
            <w:r>
              <w:rPr>
                <w:rFonts w:hint="eastAsia" w:ascii="仿宋_GB2312" w:hAnsi="仿宋_GB2312" w:eastAsia="仿宋_GB2312" w:cs="仿宋_GB2312"/>
                <w:kern w:val="0"/>
                <w:sz w:val="28"/>
                <w:szCs w:val="28"/>
              </w:rPr>
              <w:t>抄送：</w:t>
            </w:r>
            <w:r>
              <w:rPr>
                <w:rFonts w:hint="eastAsia" w:ascii="仿宋_GB2312" w:hAnsi="仿宋_GB2312" w:eastAsia="仿宋_GB2312" w:cs="仿宋_GB2312"/>
                <w:kern w:val="0"/>
                <w:sz w:val="28"/>
                <w:szCs w:val="28"/>
                <w:lang w:eastAsia="zh-CN"/>
              </w:rPr>
              <w:t>市发展改革委，</w:t>
            </w:r>
            <w:r>
              <w:rPr>
                <w:rFonts w:hint="eastAsia" w:ascii="仿宋_GB2312" w:hAnsi="仿宋_GB2312" w:eastAsia="仿宋_GB2312" w:cs="仿宋_GB2312"/>
                <w:kern w:val="0"/>
                <w:sz w:val="28"/>
                <w:szCs w:val="28"/>
              </w:rPr>
              <w:t>市生态环境局</w:t>
            </w:r>
            <w:r>
              <w:rPr>
                <w:rFonts w:hint="eastAsia" w:ascii="仿宋_GB2312" w:hAnsi="仿宋_GB2312" w:eastAsia="仿宋_GB2312" w:cs="仿宋_GB2312"/>
                <w:kern w:val="0"/>
                <w:sz w:val="28"/>
                <w:szCs w:val="28"/>
                <w:lang w:val="en-US" w:eastAsia="zh-CN"/>
              </w:rPr>
              <w:t>各科、室、支队、中心、站、沧源</w:t>
            </w:r>
            <w:r>
              <w:rPr>
                <w:rFonts w:hint="eastAsia" w:ascii="仿宋_GB2312" w:hAnsi="仿宋_GB2312" w:eastAsia="仿宋_GB2312" w:cs="仿宋_GB2312"/>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firstLine="280" w:firstLineChars="100"/>
              <w:rPr>
                <w:rFonts w:hint="eastAsia" w:ascii="仿宋_GB2312" w:hAnsi="仿宋_GB2312" w:eastAsia="仿宋_GB2312" w:cs="仿宋_GB2312"/>
                <w:kern w:val="2"/>
                <w:sz w:val="21"/>
                <w:lang w:eastAsia="zh-CN"/>
              </w:rPr>
            </w:pPr>
            <w:r>
              <w:rPr>
                <w:rFonts w:hint="eastAsia" w:ascii="仿宋_GB2312" w:hAnsi="仿宋_GB2312" w:eastAsia="仿宋_GB2312" w:cs="仿宋_GB2312"/>
                <w:kern w:val="0"/>
                <w:sz w:val="28"/>
                <w:szCs w:val="28"/>
              </w:rPr>
              <w:t xml:space="preserve">临沧市生态环境局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2月18</w:t>
            </w:r>
            <w:r>
              <w:rPr>
                <w:rFonts w:hint="eastAsia" w:ascii="仿宋_GB2312" w:hAnsi="仿宋_GB2312" w:eastAsia="仿宋_GB2312" w:cs="仿宋_GB2312"/>
                <w:kern w:val="0"/>
                <w:sz w:val="28"/>
                <w:szCs w:val="28"/>
                <w:highlight w:val="none"/>
              </w:rPr>
              <w:t>日印</w:t>
            </w:r>
            <w:r>
              <w:rPr>
                <w:rFonts w:hint="eastAsia" w:ascii="仿宋_GB2312" w:hAnsi="仿宋_GB2312" w:eastAsia="仿宋_GB2312" w:cs="仿宋_GB2312"/>
                <w:kern w:val="0"/>
                <w:sz w:val="28"/>
                <w:szCs w:val="28"/>
                <w:highlight w:val="none"/>
                <w:lang w:eastAsia="zh-CN"/>
              </w:rPr>
              <w:t>制</w:t>
            </w:r>
          </w:p>
        </w:tc>
      </w:tr>
    </w:tbl>
    <w:p/>
    <w:p>
      <w:pPr>
        <w:pStyle w:val="2"/>
      </w:pPr>
    </w:p>
    <w:p/>
    <w:p>
      <w:pPr>
        <w:pStyle w:val="2"/>
      </w:pPr>
    </w:p>
    <w:p/>
    <w:sectPr>
      <w:footerReference r:id="rId3" w:type="default"/>
      <w:pgSz w:w="11906" w:h="16838"/>
      <w:pgMar w:top="2154" w:right="1474" w:bottom="204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FFABDB-1FB8-4E87-B754-1BA82DFB5C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DD7C657-6B1B-4635-9F3C-DFC97801D589}"/>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B4D667D7-F53F-4ECC-A233-A8268E3D7AA5}"/>
  </w:font>
  <w:font w:name="仿宋_GB2312">
    <w:panose1 w:val="02010609030101010101"/>
    <w:charset w:val="86"/>
    <w:family w:val="auto"/>
    <w:pitch w:val="default"/>
    <w:sig w:usb0="00000001" w:usb1="080E0000" w:usb2="00000000" w:usb3="00000000" w:csb0="00040000" w:csb1="00000000"/>
    <w:embedRegular r:id="rId4" w:fontKey="{6DA13288-1A33-4033-BE0E-F21F0F2FB6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128A6DC2"/>
    <w:rsid w:val="10A26FAA"/>
    <w:rsid w:val="128A6DC2"/>
    <w:rsid w:val="1E384197"/>
    <w:rsid w:val="3B691E2E"/>
    <w:rsid w:val="454A054E"/>
    <w:rsid w:val="4B7965FA"/>
    <w:rsid w:val="54024AE5"/>
    <w:rsid w:val="59792329"/>
    <w:rsid w:val="5CC71E11"/>
    <w:rsid w:val="5DD7A3C0"/>
    <w:rsid w:val="64EF36E2"/>
    <w:rsid w:val="DDCA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widowControl/>
      <w:snapToGrid w:val="0"/>
      <w:spacing w:before="60" w:after="160" w:line="259" w:lineRule="auto"/>
      <w:ind w:right="113"/>
    </w:pPr>
    <w:rPr>
      <w:kern w:val="0"/>
      <w:sz w:val="18"/>
      <w:szCs w:val="18"/>
    </w:rPr>
  </w:style>
  <w:style w:type="paragraph" w:styleId="4">
    <w:name w:val="Plain Text"/>
    <w:basedOn w:val="1"/>
    <w:next w:val="1"/>
    <w:unhideWhenUsed/>
    <w:qFormat/>
    <w:uiPriority w:val="99"/>
    <w:pPr>
      <w:adjustRightInd w:val="0"/>
      <w:snapToGrid w:val="0"/>
      <w:spacing w:beforeLines="50" w:after="100" w:afterAutospacing="1" w:line="440" w:lineRule="exact"/>
      <w:ind w:firstLine="480" w:firstLineChars="200"/>
    </w:pPr>
    <w:rPr>
      <w:rFonts w:ascii="宋体" w:hAnsi="宋体"/>
      <w:bCs/>
      <w:color w:val="000000"/>
      <w:sz w:val="24"/>
      <w:szCs w:val="24"/>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2024-02-08T01:41:00Z</dcterms:created>
  <dc:creator>子非鱼</dc:creator>
  <cp:lastModifiedBy>决眦</cp:lastModifiedBy>
  <dcterms:modified xsi:type="dcterms:W3CDTF">2024-03-12T06:48:48Z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750F5DD6149846299645ED67698709EF_13</vt:lpwstr>
  </property>
</Properties>
</file>