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25" w:lineRule="auto"/>
        <w:ind w:left="18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8"/>
          <w:sz w:val="35"/>
          <w:szCs w:val="35"/>
        </w:rPr>
        <w:t>2</w:t>
      </w:r>
      <w:r>
        <w:rPr>
          <w:rFonts w:ascii="宋体" w:hAnsi="宋体" w:eastAsia="宋体" w:cs="宋体"/>
          <w:spacing w:val="12"/>
          <w:sz w:val="35"/>
          <w:szCs w:val="35"/>
        </w:rPr>
        <w:t>0</w:t>
      </w:r>
      <w:r>
        <w:rPr>
          <w:rFonts w:ascii="宋体" w:hAnsi="宋体" w:eastAsia="宋体" w:cs="宋体"/>
          <w:spacing w:val="9"/>
          <w:sz w:val="35"/>
          <w:szCs w:val="35"/>
        </w:rPr>
        <w:t>21年重点工作情况解释说明汇总表</w:t>
      </w:r>
    </w:p>
    <w:p>
      <w:pPr>
        <w:spacing w:line="168" w:lineRule="exact"/>
      </w:pPr>
    </w:p>
    <w:tbl>
      <w:tblPr>
        <w:tblStyle w:val="7"/>
        <w:tblW w:w="94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5"/>
        <w:gridCol w:w="68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55" w:hRule="atLeast"/>
        </w:trPr>
        <w:tc>
          <w:tcPr>
            <w:tcW w:w="2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25" w:lineRule="auto"/>
              <w:ind w:left="7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点工作</w:t>
            </w:r>
          </w:p>
        </w:tc>
        <w:tc>
          <w:tcPr>
            <w:tcW w:w="68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25" w:lineRule="auto"/>
              <w:ind w:left="20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21年工作重点及工作情况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2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4" w:line="227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转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移支付安排情况</w:t>
            </w:r>
          </w:p>
        </w:tc>
        <w:tc>
          <w:tcPr>
            <w:tcW w:w="68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5" w:line="232" w:lineRule="auto"/>
              <w:ind w:left="37" w:right="132" w:firstLine="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2021年，省财政共计补助我市206.6元，增长1.9%,主要 是因中央回归执行正常转移支付制度， 省对我市补助增加。其中，一般性转移支付170.42亿元，增长2.8%， 占 转移支付比重为82%；专项转移支付33.05亿元，下降4.3%；市对 下财力性补助168.75亿元，下降8%。一般性转移支付中， 均衡性转移支付31.54亿元，增长2.1%；县级基本财力保障机制 奖补资金6.48亿元，下降65.3%；贫困地区转移支付6.1亿元，增长21.2%；民族地区转移支付2.4亿元，下降13.7%；边境 地区转移支付4.8亿元，下降4.3%；共同事权转移支付58.57亿 元，下降5.07%。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1" w:hRule="atLeast"/>
        </w:trPr>
        <w:tc>
          <w:tcPr>
            <w:tcW w:w="2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5" w:line="225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预算绩效工作开展情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况</w:t>
            </w:r>
          </w:p>
        </w:tc>
        <w:tc>
          <w:tcPr>
            <w:tcW w:w="68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5" w:line="232" w:lineRule="auto"/>
              <w:ind w:left="37" w:right="132" w:firstLine="482"/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2021年，市财政局认真贯彻落实市委、市政府决策部署，全年共对市本级 2020 年部门整体支出、市本级 2020 年项目支出、城乡居民基本医疗保险基金、抗疫特别国债等重点预算项目开展绩效评价，顺利完成了全年工作任务。</w:t>
            </w:r>
          </w:p>
          <w:p>
            <w:pPr>
              <w:spacing w:before="45" w:line="232" w:lineRule="auto"/>
              <w:ind w:left="37" w:right="132" w:firstLine="482"/>
              <w:rPr>
                <w:rFonts w:ascii="宋体" w:hAnsi="宋体" w:eastAsia="宋体" w:cs="宋体"/>
                <w:spacing w:val="14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夯实基础工作</w:t>
            </w:r>
          </w:p>
          <w:p>
            <w:pPr>
              <w:spacing w:before="45" w:line="232" w:lineRule="auto"/>
              <w:ind w:left="37" w:right="132" w:firstLine="482"/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建立健全预算绩效管理工作制度，规范绩效目标、绩效监控、绩效评价、结果应用等各项管理流程，确保预算绩效管理与预算编制、执行、监督的有效衔接</w:t>
            </w: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，为全市预算绩效工作打下坚实的制度基石</w:t>
            </w:r>
          </w:p>
          <w:p>
            <w:pPr>
              <w:spacing w:before="45" w:line="232" w:lineRule="auto"/>
              <w:ind w:left="37" w:right="132" w:firstLine="482"/>
              <w:rPr>
                <w:rFonts w:hint="default" w:ascii="宋体" w:hAnsi="宋体" w:eastAsia="宋体" w:cs="宋体"/>
                <w:spacing w:val="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二、聚焦重点领域</w:t>
            </w:r>
          </w:p>
          <w:p>
            <w:pPr>
              <w:spacing w:before="45" w:line="232" w:lineRule="auto"/>
              <w:ind w:left="37" w:right="132" w:firstLine="482"/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 xml:space="preserve">紧紧围绕市委、市政府工作要求，重点选取教育、医疗卫生、城市建设、生态环保等领域的项目开展财政重点评价，评价资金拓展到政府与社会资本合作项目、直达资金、专项债券等财政管理的重点热点。 </w:t>
            </w:r>
          </w:p>
          <w:p>
            <w:pPr>
              <w:spacing w:before="45" w:line="232" w:lineRule="auto"/>
              <w:ind w:left="37" w:right="132" w:firstLine="482"/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三、强化结果应用</w:t>
            </w:r>
          </w:p>
          <w:p>
            <w:pPr>
              <w:spacing w:before="45" w:line="232" w:lineRule="auto"/>
              <w:ind w:left="37" w:right="132" w:firstLine="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建立重点项目评价信息互通、督促问题整改、评价结果公开等工作机制，推动财政资金使用“问绩问效”贯彻落实到具体项目中。被评价的市级部门高度重视，针对评价反馈问题和工作建议，进一步强化绩效管理、优化预算管理，提高资金效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25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before="74" w:line="227" w:lineRule="auto"/>
              <w:ind w:left="3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举借政府债务情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况</w:t>
            </w:r>
          </w:p>
        </w:tc>
        <w:tc>
          <w:tcPr>
            <w:tcW w:w="689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5" w:line="232" w:lineRule="auto"/>
              <w:ind w:left="37" w:right="132" w:firstLine="482"/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经省财政厅下达，并经市人大常委会批准，临沧市2021年地方政府债务限额4737500万元，新增地方政府债务限额402100万元。市本级2021年政府债务限额为 2318879万元。</w:t>
            </w:r>
          </w:p>
          <w:p>
            <w:pPr>
              <w:spacing w:before="45" w:line="232" w:lineRule="auto"/>
              <w:ind w:left="37" w:right="132" w:firstLine="4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val="en-US" w:eastAsia="zh-CN"/>
              </w:rPr>
              <w:t>2021年，全市共转贷地方政府债券628875万元，其中：新增债券400775万元；再融资债券228100万元。新增债券资金主要用于交通、市政和产业园区基础设施建设、医疗卫生、农林水利、文化旅游等重点领域公益性项目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</w:rPr>
              <w:t>。</w:t>
            </w:r>
          </w:p>
        </w:tc>
      </w:tr>
    </w:tbl>
    <w:p>
      <w:bookmarkStart w:id="0" w:name="_GoBack"/>
      <w:bookmarkEnd w:id="0"/>
    </w:p>
    <w:sectPr>
      <w:pgSz w:w="11905" w:h="16837"/>
      <w:pgMar w:top="1045" w:right="1472" w:bottom="0" w:left="99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E37133"/>
    <w:rsid w:val="0051362D"/>
    <w:rsid w:val="009428C6"/>
    <w:rsid w:val="00A05D9B"/>
    <w:rsid w:val="00CA358C"/>
    <w:rsid w:val="00E37133"/>
    <w:rsid w:val="3A8F5B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spacing w:after="0" w:line="240" w:lineRule="auto"/>
      <w:ind w:firstLine="560" w:firstLineChars="20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168</Words>
  <Characters>962</Characters>
  <Lines>8</Lines>
  <Paragraphs>2</Paragraphs>
  <TotalTime>0</TotalTime>
  <ScaleCrop>false</ScaleCrop>
  <LinksUpToDate>false</LinksUpToDate>
  <CharactersWithSpaces>1128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2022-08-12T10:23:00Z</dcterms:created>
  <dc:creator>NTKO</dc:creator>
  <cp:lastModifiedBy>user</cp:lastModifiedBy>
  <dcterms:modified xsi:type="dcterms:W3CDTF">2022-09-16T07:35:35Z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2022-09-16T11:39:43Z</vt:filetime>
  </property>
  <property fmtid="{D5CDD505-2E9C-101B-9397-08002B2CF9AE}" pid="4" name="KSOProductBuildVer">
    <vt:lpwstr>2052-10.8.0.5950</vt:lpwstr>
  </property>
</Properties>
</file>