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p>
    <w:p>
      <w:pPr>
        <w:spacing w:line="0" w:lineRule="atLeast"/>
        <w:ind w:firstLine="1600" w:firstLineChars="800"/>
        <w:rPr>
          <w:rFonts w:hint="eastAsia" w:ascii="仿宋_GB2312" w:hAnsi="仿宋_GB2312" w:eastAsia="仿宋_GB2312" w:cs="仿宋_GB2312"/>
          <w:sz w:val="20"/>
          <w:szCs w:val="20"/>
        </w:rPr>
      </w:pPr>
    </w:p>
    <w:p>
      <w:pPr>
        <w:spacing w:line="0" w:lineRule="atLeas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号</w:t>
      </w:r>
    </w:p>
    <w:p>
      <w:pPr>
        <w:spacing w:line="0" w:lineRule="atLeast"/>
        <w:jc w:val="center"/>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rPr>
        <w:t>临沧市生态环境局关于</w:t>
      </w:r>
      <w:r>
        <w:rPr>
          <w:rFonts w:hint="eastAsia" w:ascii="方正小标宋_GBK" w:hAnsi="方正小标宋_GBK" w:eastAsia="方正小标宋_GBK" w:cs="方正小标宋_GBK"/>
          <w:b/>
          <w:bCs/>
          <w:color w:val="auto"/>
          <w:sz w:val="44"/>
          <w:szCs w:val="44"/>
          <w:lang w:val="en-US" w:eastAsia="zh-CN"/>
        </w:rPr>
        <w:t>临沧博龙商品混凝土</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val="en-US" w:eastAsia="zh-CN"/>
        </w:rPr>
        <w:t>搅拌站建设项目环境</w:t>
      </w:r>
      <w:r>
        <w:rPr>
          <w:rFonts w:hint="eastAsia" w:ascii="方正小标宋_GBK" w:hAnsi="方正小标宋_GBK" w:eastAsia="方正小标宋_GBK" w:cs="方正小标宋_GBK"/>
          <w:b/>
          <w:bCs/>
          <w:color w:val="auto"/>
          <w:sz w:val="44"/>
          <w:szCs w:val="44"/>
        </w:rPr>
        <w:t>影响报告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临沧博龙混凝土有限公司：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rPr>
        <w:t>你</w:t>
      </w:r>
      <w:r>
        <w:rPr>
          <w:rFonts w:hint="eastAsia" w:ascii="仿宋_GB2312" w:hAnsi="仿宋_GB2312" w:eastAsia="仿宋_GB2312" w:cs="仿宋_GB2312"/>
          <w:color w:val="auto"/>
          <w:sz w:val="32"/>
          <w:szCs w:val="32"/>
          <w:highlight w:val="none"/>
          <w:lang w:val="en-US" w:eastAsia="zh-CN"/>
        </w:rPr>
        <w:t>公司</w:t>
      </w:r>
      <w:r>
        <w:rPr>
          <w:rFonts w:hint="eastAsia" w:ascii="仿宋_GB2312" w:hAnsi="仿宋_GB2312" w:eastAsia="仿宋_GB2312" w:cs="仿宋_GB2312"/>
          <w:color w:val="auto"/>
          <w:sz w:val="32"/>
          <w:szCs w:val="32"/>
          <w:highlight w:val="none"/>
        </w:rPr>
        <w:t>申请报批的《</w:t>
      </w:r>
      <w:r>
        <w:rPr>
          <w:rFonts w:hint="eastAsia" w:ascii="仿宋_GB2312" w:hAnsi="仿宋_GB2312" w:eastAsia="仿宋_GB2312" w:cs="仿宋_GB2312"/>
          <w:color w:val="auto"/>
          <w:sz w:val="32"/>
          <w:szCs w:val="32"/>
          <w:highlight w:val="none"/>
          <w:lang w:val="en-US" w:eastAsia="zh-CN"/>
        </w:rPr>
        <w:t>临沧博龙商品混凝土搅拌站建设项目环境影响报告表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lang w:val="en-US" w:eastAsia="zh-CN"/>
        </w:rPr>
        <w:t>临沧市临翔区博尚镇细腊变电站东侧地块</w:t>
      </w:r>
      <w:r>
        <w:rPr>
          <w:rFonts w:hint="default" w:ascii="仿宋_GB2312" w:hAnsi="仿宋_GB2312" w:eastAsia="仿宋_GB2312" w:cs="仿宋_GB2312"/>
          <w:color w:val="auto"/>
          <w:sz w:val="32"/>
          <w:szCs w:val="32"/>
          <w:lang w:val="en-US" w:eastAsia="zh-CN"/>
        </w:rPr>
        <w:t>，项目地理位置中心坐标为东经100°2′38.703″，北纬23°44′26.669″。</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color w:val="auto"/>
          <w:sz w:val="32"/>
          <w:szCs w:val="32"/>
          <w:highlight w:val="none"/>
          <w:lang w:val="en-US" w:eastAsia="zh-CN"/>
        </w:rPr>
        <w:t>目</w:t>
      </w:r>
      <w:r>
        <w:rPr>
          <w:rFonts w:hint="default" w:ascii="仿宋_GB2312" w:hAnsi="仿宋_GB2312" w:eastAsia="仿宋_GB2312" w:cs="仿宋_GB2312"/>
          <w:color w:val="auto"/>
          <w:sz w:val="32"/>
          <w:szCs w:val="32"/>
          <w:highlight w:val="none"/>
          <w:lang w:eastAsia="zh-CN"/>
        </w:rPr>
        <w:t>占地</w:t>
      </w:r>
      <w:r>
        <w:rPr>
          <w:rFonts w:hint="default" w:ascii="仿宋_GB2312" w:hAnsi="仿宋_GB2312" w:eastAsia="仿宋_GB2312" w:cs="仿宋_GB2312"/>
          <w:color w:val="auto"/>
          <w:sz w:val="32"/>
          <w:szCs w:val="32"/>
          <w:highlight w:val="none"/>
          <w:lang w:val="en-US" w:eastAsia="zh-CN"/>
        </w:rPr>
        <w:t>面积</w:t>
      </w:r>
      <w:r>
        <w:rPr>
          <w:rFonts w:hint="eastAsia" w:ascii="仿宋_GB2312" w:hAnsi="仿宋_GB2312" w:eastAsia="仿宋_GB2312" w:cs="仿宋_GB2312"/>
          <w:color w:val="auto"/>
          <w:sz w:val="32"/>
          <w:szCs w:val="32"/>
          <w:highlight w:val="none"/>
          <w:lang w:val="en-US" w:eastAsia="zh-CN"/>
        </w:rPr>
        <w:t>20000</w:t>
      </w:r>
      <w:r>
        <w:rPr>
          <w:rFonts w:hint="default" w:ascii="仿宋_GB2312" w:hAnsi="仿宋_GB2312" w:eastAsia="仿宋_GB2312" w:cs="仿宋_GB2312"/>
          <w:color w:val="auto"/>
          <w:sz w:val="32"/>
          <w:szCs w:val="32"/>
          <w:highlight w:val="none"/>
          <w:lang w:eastAsia="zh-CN"/>
        </w:rPr>
        <w:t>m</w:t>
      </w:r>
      <w:r>
        <w:rPr>
          <w:rFonts w:hint="default" w:ascii="仿宋_GB2312" w:hAnsi="仿宋_GB2312" w:eastAsia="仿宋_GB2312" w:cs="仿宋_GB2312"/>
          <w:color w:val="auto"/>
          <w:sz w:val="32"/>
          <w:szCs w:val="32"/>
          <w:highlight w:val="none"/>
          <w:vertAlign w:val="superscript"/>
          <w:lang w:eastAsia="zh-CN"/>
        </w:rPr>
        <w:t>2</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lang w:val="en-US" w:eastAsia="zh-CN"/>
        </w:rPr>
        <w:t>目建设内容为在原项目的基础上新增1条稳定土生产线、配料仓、水泥筒仓、矿粉筒仓、沉淀池等。项目建成后年处理31250t建筑废料经加工生产2.5万t砂石料、年产11500块免烧砖</w:t>
      </w:r>
      <w:r>
        <w:rPr>
          <w:rFonts w:hint="default"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rPr>
        <w:t>总投资为</w:t>
      </w:r>
      <w:r>
        <w:rPr>
          <w:rFonts w:hint="eastAsia" w:ascii="仿宋_GB2312" w:hAnsi="仿宋_GB2312" w:eastAsia="仿宋_GB2312" w:cs="仿宋_GB2312"/>
          <w:color w:val="auto"/>
          <w:sz w:val="32"/>
          <w:szCs w:val="32"/>
          <w:lang w:val="en-US" w:eastAsia="zh-CN"/>
        </w:rPr>
        <w:t>2620</w:t>
      </w:r>
      <w:r>
        <w:rPr>
          <w:rFonts w:hint="default" w:ascii="仿宋_GB2312" w:hAnsi="仿宋_GB2312" w:eastAsia="仿宋_GB2312" w:cs="仿宋_GB2312"/>
          <w:color w:val="auto"/>
          <w:sz w:val="32"/>
          <w:szCs w:val="32"/>
        </w:rPr>
        <w:t>万元，环保投资估算总计为</w:t>
      </w:r>
      <w:r>
        <w:rPr>
          <w:rFonts w:hint="eastAsia" w:ascii="仿宋_GB2312" w:hAnsi="仿宋_GB2312" w:eastAsia="仿宋_GB2312" w:cs="仿宋_GB2312"/>
          <w:color w:val="auto"/>
          <w:sz w:val="32"/>
          <w:szCs w:val="32"/>
          <w:lang w:val="en-US" w:eastAsia="zh-CN"/>
        </w:rPr>
        <w:t>32.4</w:t>
      </w:r>
      <w:r>
        <w:rPr>
          <w:rFonts w:hint="default" w:ascii="仿宋_GB2312" w:hAnsi="仿宋_GB2312" w:eastAsia="仿宋_GB2312" w:cs="仿宋_GB2312"/>
          <w:color w:val="auto"/>
          <w:sz w:val="32"/>
          <w:szCs w:val="32"/>
        </w:rPr>
        <w:t>万元，占项目总投资的</w:t>
      </w:r>
      <w:r>
        <w:rPr>
          <w:rFonts w:hint="eastAsia" w:ascii="仿宋_GB2312" w:hAnsi="仿宋_GB2312" w:eastAsia="仿宋_GB2312" w:cs="仿宋_GB2312"/>
          <w:color w:val="auto"/>
          <w:sz w:val="32"/>
          <w:szCs w:val="32"/>
          <w:lang w:val="en-US" w:eastAsia="zh-CN"/>
        </w:rPr>
        <w:t>1.23</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pacing w:val="0"/>
          <w:sz w:val="32"/>
          <w:szCs w:val="32"/>
          <w:lang w:eastAsia="zh-CN"/>
        </w:rPr>
        <w:t>严格对照《报告</w:t>
      </w:r>
      <w:r>
        <w:rPr>
          <w:rFonts w:hint="eastAsia" w:ascii="仿宋_GB2312" w:hAnsi="仿宋_GB2312" w:eastAsia="仿宋_GB2312" w:cs="仿宋_GB2312"/>
          <w:color w:val="auto"/>
          <w:spacing w:val="0"/>
          <w:sz w:val="32"/>
          <w:szCs w:val="32"/>
          <w:lang w:val="en-US" w:eastAsia="zh-CN"/>
        </w:rPr>
        <w:t>表</w:t>
      </w:r>
      <w:r>
        <w:rPr>
          <w:rFonts w:hint="eastAsia" w:ascii="仿宋_GB2312" w:hAnsi="仿宋_GB2312" w:eastAsia="仿宋_GB2312" w:cs="仿宋_GB2312"/>
          <w:color w:val="auto"/>
          <w:spacing w:val="0"/>
          <w:sz w:val="32"/>
          <w:szCs w:val="32"/>
          <w:lang w:eastAsia="zh-CN"/>
        </w:rPr>
        <w:t>》提出的各项污染防治措施及要求落实。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你公司严格</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临翔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（五）</w:t>
      </w:r>
      <w:r>
        <w:rPr>
          <w:rFonts w:hint="eastAsia" w:ascii="仿宋_GB2312" w:hAnsi="仿宋_GB2312" w:eastAsia="仿宋_GB2312" w:cs="仿宋_GB2312"/>
          <w:color w:val="auto"/>
          <w:sz w:val="32"/>
          <w:szCs w:val="32"/>
          <w:lang w:val="en-US" w:eastAsia="zh-CN"/>
        </w:rPr>
        <w:t>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严格按照《建设项目竣工环境保护验收暂行办法》有关规定，组织对配套建设的环境保护设施进行验收，并将相关信息向社会公开，同时将上述信息报送市生态环境局临翔分局。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（六）</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w:t>
      </w:r>
      <w:r>
        <w:rPr>
          <w:rFonts w:hint="eastAsia" w:eastAsia="仿宋_GB2312" w:cs="Times New Roman"/>
          <w:color w:val="auto"/>
          <w:sz w:val="32"/>
          <w:szCs w:val="32"/>
          <w:lang w:eastAsia="zh-CN"/>
        </w:rPr>
        <w:t>公司</w:t>
      </w:r>
      <w:r>
        <w:rPr>
          <w:rFonts w:hint="default" w:ascii="Times New Roman" w:hAnsi="Times New Roman" w:eastAsia="仿宋_GB2312" w:cs="Times New Roman"/>
          <w:color w:val="auto"/>
          <w:spacing w:val="0"/>
          <w:sz w:val="32"/>
          <w:szCs w:val="32"/>
          <w:lang w:val="en-US" w:eastAsia="zh-CN"/>
        </w:rPr>
        <w:t>在</w:t>
      </w:r>
      <w:r>
        <w:rPr>
          <w:rFonts w:hint="default" w:ascii="Times New Roman" w:hAnsi="Times New Roman" w:eastAsia="仿宋_GB2312" w:cs="Times New Roman"/>
          <w:kern w:val="0"/>
          <w:sz w:val="32"/>
          <w:szCs w:val="32"/>
          <w:lang w:val="en-US" w:eastAsia="zh-CN" w:bidi="ar-SA"/>
        </w:rPr>
        <w:t>启动生产设施或者发生实际排污行为之前依法申请取得排污许可证，未取得排污许可证前，不得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（七）市</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val="en-US" w:eastAsia="zh-CN"/>
        </w:rPr>
        <w:t>临翔</w:t>
      </w:r>
      <w:r>
        <w:rPr>
          <w:rFonts w:hint="eastAsia" w:ascii="仿宋_GB2312" w:hAnsi="仿宋_GB2312" w:eastAsia="仿宋_GB2312" w:cs="仿宋_GB2312"/>
          <w:color w:val="auto"/>
          <w:sz w:val="32"/>
          <w:szCs w:val="32"/>
        </w:rPr>
        <w:t>分局要切实履行属地监管职责，按照相关法律法规及《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tabs>
          <w:tab w:val="left" w:pos="622"/>
        </w:tabs>
        <w:bidi w:val="0"/>
        <w:jc w:val="left"/>
        <w:rPr>
          <w:rFonts w:hint="eastAsia" w:ascii="仿宋_GB2312" w:hAnsi="仿宋_GB2312" w:eastAsia="仿宋_GB2312" w:cs="仿宋_GB2312"/>
          <w:color w:val="auto"/>
          <w:kern w:val="2"/>
          <w:sz w:val="24"/>
          <w:szCs w:val="24"/>
          <w:lang w:val="en-US" w:eastAsia="zh-CN" w:bidi="ar-SA"/>
        </w:rPr>
      </w:pPr>
    </w:p>
    <w:p>
      <w:pPr>
        <w:pStyle w:val="2"/>
      </w:pPr>
    </w:p>
    <w:p/>
    <w:p>
      <w:pPr>
        <w:pStyle w:val="2"/>
      </w:pPr>
    </w:p>
    <w:p/>
    <w:p>
      <w:pPr>
        <w:pStyle w:val="2"/>
      </w:pPr>
    </w:p>
    <w:p/>
    <w:p>
      <w:pPr>
        <w:pStyle w:val="2"/>
        <w:ind w:left="0" w:leftChars="0" w:firstLine="0" w:firstLineChars="0"/>
      </w:pPr>
    </w:p>
    <w:p>
      <w:pPr>
        <w:pStyle w:val="5"/>
        <w:rPr>
          <w:rFonts w:hint="default" w:ascii="Times New Roman" w:hAnsi="Times New Roman" w:cs="Times New Roman"/>
        </w:rPr>
      </w:pPr>
    </w:p>
    <w:p>
      <w:pPr>
        <w:rPr>
          <w:rFonts w:hint="default" w:ascii="Times New Roman" w:hAnsi="Times New Roman" w:cs="Times New Roman"/>
        </w:rPr>
      </w:pPr>
    </w:p>
    <w:p>
      <w:pPr>
        <w:ind w:left="0" w:leftChars="0" w:firstLine="0" w:firstLineChars="0"/>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ind w:left="0" w:leftChars="0" w:firstLine="0" w:firstLineChars="0"/>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ind w:left="0" w:leftChars="0" w:firstLine="0" w:firstLineChars="0"/>
        <w:rPr>
          <w:rFonts w:hint="default"/>
        </w:rPr>
      </w:pPr>
    </w:p>
    <w:p>
      <w:pPr>
        <w:ind w:left="0" w:leftChars="0" w:firstLine="0" w:firstLineChars="0"/>
        <w:rPr>
          <w:rFonts w:hint="default"/>
        </w:rPr>
      </w:pPr>
    </w:p>
    <w:p>
      <w:pPr>
        <w:spacing w:line="520" w:lineRule="exact"/>
        <w:ind w:left="1118" w:leftChars="116"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20320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6pt;height:0pt;width:441pt;z-index:251663360;mso-width-relative:page;mso-height-relative:page;" filled="f" stroked="t" coordsize="21600,21600" o:gfxdata="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EKjDT&#10;AAAABAEAAA8AAAAAAAAAAQAgAAAAIgAAAGRycy9kb3ducmV2LnhtbFBLAQIUABQAAAAIAIdO4kDT&#10;dXG17AEAAOkDAAAOAAAAAAAAAAEAIAAAACIBAABkcnMvZTJvRG9jLnhtbFBLBQYAAAAABgAGAFkB&#10;AACABQAAAAA=&#10;">
                <v:fill on="f" focussize="0,0"/>
                <v:stroke weight="0.3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396240</wp:posOffset>
                </wp:positionV>
                <wp:extent cx="635" cy="0"/>
                <wp:effectExtent l="0" t="0" r="0" b="0"/>
                <wp:wrapNone/>
                <wp:docPr id="3"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pt;margin-top:31.2pt;height:0pt;width:0.05pt;z-index:251660288;mso-width-relative:page;mso-height-relative:page;" filled="f" stroked="t" coordsize="21600,21600" o:gfxdata="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mEADX&#10;AAAACQEAAA8AAAAAAAAAAQAgAAAAIgAAAGRycy9kb3ducmV2LnhtbFBLAQIUABQAAAAIAIdO4kDS&#10;VVGH6AEAAOUDAAAOAAAAAAAAAAEAIAAAACY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eastAsia" w:eastAsia="仿宋_GB2312" w:cs="Times New Roman"/>
          <w:sz w:val="28"/>
          <w:szCs w:val="28"/>
          <w:lang w:eastAsia="zh-CN"/>
        </w:rPr>
        <w:t>市工业和信息化局，市生态环境局各科、室、支队、中心、站、临翔分局</w:t>
      </w:r>
    </w:p>
    <w:p>
      <w:pPr>
        <w:spacing w:line="520" w:lineRule="exact"/>
        <w:ind w:left="0" w:leftChars="0" w:firstLine="280" w:firstLineChars="100"/>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53340</wp:posOffset>
                </wp:positionV>
                <wp:extent cx="5600700" cy="0"/>
                <wp:effectExtent l="0" t="0" r="0" b="0"/>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4.2pt;height:0pt;width:441pt;z-index:251661312;mso-width-relative:page;mso-height-relative:page;" filled="f" stroked="t" coordsize="21600,21600" o:gfxdata="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4f20&#10;0wAAAAQBAAAPAAAAAAAAAAEAIAAAACIAAABkcnMvZG93bnJldi54bWxQSwECFAAUAAAACACHTuJA&#10;GRqaDe0BAADpAwAADgAAAAAAAAABACAAAAAiAQAAZHJzL2Uyb0RvYy54bWxQSwUGAAAAAAYABgBZ&#10;AQAAgQU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350520</wp:posOffset>
                </wp:positionV>
                <wp:extent cx="5600700" cy="0"/>
                <wp:effectExtent l="0" t="0" r="0" b="0"/>
                <wp:wrapNone/>
                <wp:docPr id="5" name="直线 5"/>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27.6pt;height:0pt;width:441pt;z-index:251662336;mso-width-relative:page;mso-height-relative:page;" filled="f" stroked="t" coordsize="21600,21600" o:gfxdata="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Hz&#10;0tUAAAAGAQAADwAAAAAAAAABACAAAAAiAAAAZHJzL2Rvd25yZXYueG1sUEsBAhQAFAAAAAgAh07i&#10;QJzABt/sAQAA6QMAAA4AAAAAAAAAAQAgAAAAJAEAAGRycy9lMm9Eb2MueG1sUEsFBgAAAAAGAAYA&#10;WQEAAIIFA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临沧市生态环境局</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20</w:t>
      </w:r>
      <w:r>
        <w:rPr>
          <w:rFonts w:hint="default" w:ascii="Times New Roman" w:hAnsi="Times New Roman" w:eastAsia="仿宋_GB2312" w:cs="Times New Roman"/>
          <w:sz w:val="28"/>
          <w:szCs w:val="28"/>
          <w:highlight w:val="none"/>
          <w:lang w:val="en-US" w:eastAsia="zh-CN"/>
        </w:rPr>
        <w:t>2</w:t>
      </w:r>
      <w:r>
        <w:rPr>
          <w:rFonts w:hint="eastAsia"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lang w:val="en-US" w:eastAsia="zh-CN"/>
        </w:rPr>
        <w:t>月</w:t>
      </w:r>
      <w:r>
        <w:rPr>
          <w:rFonts w:hint="eastAsia" w:eastAsia="仿宋_GB2312" w:cs="Times New Roman"/>
          <w:sz w:val="28"/>
          <w:szCs w:val="28"/>
          <w:highlight w:val="none"/>
          <w:lang w:val="en-US" w:eastAsia="zh-CN"/>
        </w:rPr>
        <w:t>18</w:t>
      </w:r>
      <w:r>
        <w:rPr>
          <w:rFonts w:hint="default" w:ascii="Times New Roman" w:hAnsi="Times New Roman" w:eastAsia="仿宋_GB2312" w:cs="Times New Roman"/>
          <w:sz w:val="28"/>
          <w:szCs w:val="28"/>
          <w:highlight w:val="none"/>
        </w:rPr>
        <w:t>日印</w:t>
      </w:r>
      <w:r>
        <w:rPr>
          <w:rFonts w:hint="eastAsia" w:eastAsia="仿宋_GB2312" w:cs="Times New Roman"/>
          <w:sz w:val="28"/>
          <w:szCs w:val="28"/>
          <w:highlight w:val="none"/>
          <w:lang w:eastAsia="zh-CN"/>
        </w:rPr>
        <w:t>制</w:t>
      </w:r>
    </w:p>
    <w:sectPr>
      <w:footerReference r:id="rId5" w:type="default"/>
      <w:pgSz w:w="11906" w:h="16838"/>
      <w:pgMar w:top="2098" w:right="1417"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020740-C91E-4A96-880A-E2BC8DCBE8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1C2F185-D437-4875-AD11-5FCAAA1281C9}"/>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7D8084E9-7525-4F01-ACAA-FC09BCE19CF4}"/>
  </w:font>
  <w:font w:name="方正小标宋_GBK">
    <w:panose1 w:val="02000000000000000000"/>
    <w:charset w:val="86"/>
    <w:family w:val="auto"/>
    <w:pitch w:val="default"/>
    <w:sig w:usb0="A00002BF" w:usb1="38CF7CFA" w:usb2="00082016" w:usb3="00000000" w:csb0="00040001" w:csb1="00000000"/>
    <w:embedRegular r:id="rId4" w:fontKey="{DB3056DD-BDF5-41B8-9F29-E8E1A9EAB8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61FF7B53"/>
    <w:rsid w:val="007E634A"/>
    <w:rsid w:val="046C3791"/>
    <w:rsid w:val="0D5B0F8B"/>
    <w:rsid w:val="0EB308D3"/>
    <w:rsid w:val="11E9006E"/>
    <w:rsid w:val="13282DB4"/>
    <w:rsid w:val="1DD64BEF"/>
    <w:rsid w:val="247D4575"/>
    <w:rsid w:val="25556412"/>
    <w:rsid w:val="27E47529"/>
    <w:rsid w:val="28532D8E"/>
    <w:rsid w:val="2B7E174D"/>
    <w:rsid w:val="333149E1"/>
    <w:rsid w:val="395F137E"/>
    <w:rsid w:val="398B3419"/>
    <w:rsid w:val="3A9B7E4C"/>
    <w:rsid w:val="3BFF7BF7"/>
    <w:rsid w:val="3E7916A3"/>
    <w:rsid w:val="45833DC6"/>
    <w:rsid w:val="496305E0"/>
    <w:rsid w:val="4A346A85"/>
    <w:rsid w:val="50191ED3"/>
    <w:rsid w:val="501F4F53"/>
    <w:rsid w:val="52F050B1"/>
    <w:rsid w:val="54226B0B"/>
    <w:rsid w:val="562C2C6E"/>
    <w:rsid w:val="577B30F6"/>
    <w:rsid w:val="57CCE186"/>
    <w:rsid w:val="5A9D1A52"/>
    <w:rsid w:val="5BF7F722"/>
    <w:rsid w:val="61FF7B53"/>
    <w:rsid w:val="63E6250C"/>
    <w:rsid w:val="6825608E"/>
    <w:rsid w:val="6F602C29"/>
    <w:rsid w:val="745C44FA"/>
    <w:rsid w:val="74FC6F56"/>
    <w:rsid w:val="79465A41"/>
    <w:rsid w:val="7B33020B"/>
    <w:rsid w:val="7B4175C0"/>
    <w:rsid w:val="7CAF565B"/>
    <w:rsid w:val="7ED072CB"/>
    <w:rsid w:val="BA7B23C6"/>
    <w:rsid w:val="FAFB4695"/>
    <w:rsid w:val="FE734873"/>
    <w:rsid w:val="FF87F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标题 1 + 四号 段前: 0 磅 段后: 0 磅 行距: 1.5 倍行距"/>
    <w:basedOn w:val="11"/>
    <w:next w:val="1"/>
    <w:qFormat/>
    <w:uiPriority w:val="0"/>
    <w:pPr>
      <w:keepLines/>
      <w:spacing w:before="340" w:after="330"/>
      <w:jc w:val="center"/>
    </w:pPr>
    <w:rPr>
      <w:rFonts w:ascii="Calibri" w:hAnsi="黑体"/>
      <w:b/>
      <w:kern w:val="44"/>
      <w:sz w:val="21"/>
      <w:szCs w:val="24"/>
    </w:rPr>
  </w:style>
  <w:style w:type="paragraph" w:customStyle="1" w:styleId="11">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2">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3">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2023-08-18T23:50:00Z</dcterms:created>
  <dc:creator>スーパーサイヤ人の神</dc:creator>
  <cp:lastModifiedBy>决眦</cp:lastModifiedBy>
  <cp:lastPrinted>2024-01-26T17:41:00Z</cp:lastPrinted>
  <dcterms:modified xsi:type="dcterms:W3CDTF">2024-03-12T06:47:12Z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8BD78BEB0D6946229642A187CFD25342_13</vt:lpwstr>
  </property>
</Properties>
</file>