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Toc30954"/>
      <w:bookmarkStart w:id="1" w:name="_Toc450311985"/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评审办法</w:t>
      </w:r>
      <w:bookmarkEnd w:id="0"/>
      <w:bookmarkEnd w:id="1"/>
    </w:p>
    <w:p>
      <w:pPr>
        <w:spacing w:line="360" w:lineRule="auto"/>
        <w:jc w:val="center"/>
        <w:outlineLvl w:val="1"/>
        <w:rPr>
          <w:rFonts w:hint="eastAsia" w:ascii="仿宋_GB2312" w:hAnsi="仿宋_GB2312" w:eastAsia="仿宋_GB2312" w:cs="仿宋_GB2312"/>
          <w:b/>
          <w:sz w:val="30"/>
          <w:szCs w:val="30"/>
        </w:rPr>
      </w:pPr>
      <w:bookmarkStart w:id="2" w:name="_Toc26221"/>
      <w:r>
        <w:rPr>
          <w:rFonts w:hint="eastAsia" w:ascii="仿宋_GB2312" w:hAnsi="仿宋_GB2312" w:eastAsia="仿宋_GB2312" w:cs="仿宋_GB2312"/>
          <w:b/>
          <w:sz w:val="30"/>
          <w:szCs w:val="30"/>
        </w:rPr>
        <w:t>一、评审办法附表</w:t>
      </w:r>
      <w:bookmarkEnd w:id="2"/>
    </w:p>
    <w:tbl>
      <w:tblPr>
        <w:tblStyle w:val="5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832"/>
        <w:gridCol w:w="1589"/>
        <w:gridCol w:w="5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1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条款号</w:t>
            </w:r>
          </w:p>
        </w:tc>
        <w:tc>
          <w:tcPr>
            <w:tcW w:w="158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评审因素</w:t>
            </w:r>
          </w:p>
        </w:tc>
        <w:tc>
          <w:tcPr>
            <w:tcW w:w="59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5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3.1</w:t>
            </w:r>
          </w:p>
        </w:tc>
        <w:tc>
          <w:tcPr>
            <w:tcW w:w="83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格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审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查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审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标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准</w:t>
            </w:r>
          </w:p>
        </w:tc>
        <w:tc>
          <w:tcPr>
            <w:tcW w:w="158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《中华人民共和国政府采购法》第二十二条的规定要求</w:t>
            </w:r>
          </w:p>
        </w:tc>
        <w:tc>
          <w:tcPr>
            <w:tcW w:w="59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5505"/>
              </w:tabs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具有独立承担民事责任的能力；提供统一社会信用代码证等证明材料。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8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9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5505"/>
              </w:tabs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具有良好的商业信誉和健全的财务会计制度：</w:t>
            </w:r>
          </w:p>
          <w:p>
            <w:pPr>
              <w:tabs>
                <w:tab w:val="left" w:pos="5505"/>
              </w:tabs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1、提供上年度财务报表；</w:t>
            </w:r>
          </w:p>
          <w:p>
            <w:pPr>
              <w:tabs>
                <w:tab w:val="left" w:pos="5505"/>
              </w:tabs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2、近三个月内开户银行出具的资信证明或信用等级证明或存款证明。</w:t>
            </w:r>
          </w:p>
          <w:p>
            <w:pPr>
              <w:tabs>
                <w:tab w:val="left" w:pos="5505"/>
              </w:tabs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注：供应商可根据自身情况提供以上任意一种证明材料即可。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8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9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5505"/>
              </w:tabs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具有履行合同所必需的设备和专业技术能力。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8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9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5505"/>
              </w:tabs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有依法缴纳税收和社会保障资金的良好记录；提供2019年内任意2月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由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相关部门出具的证明材料。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8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9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5505"/>
              </w:tabs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参加政府采购活动前三年内，在经营活动中没有重大违法记录；提供声明即可。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8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9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5505"/>
              </w:tabs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法律、行政法规规定的其他条件。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资质证书</w:t>
            </w:r>
          </w:p>
        </w:tc>
        <w:tc>
          <w:tcPr>
            <w:tcW w:w="59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5505"/>
              </w:tabs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具备主管部门颁发的会计师事务所执业证书。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项目负责人</w:t>
            </w:r>
          </w:p>
        </w:tc>
        <w:tc>
          <w:tcPr>
            <w:tcW w:w="59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5505"/>
              </w:tabs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拟派项目负责人须具备高级会计师或注册会计师资格。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投标供应商关系要求</w:t>
            </w:r>
          </w:p>
        </w:tc>
        <w:tc>
          <w:tcPr>
            <w:tcW w:w="59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5505"/>
              </w:tabs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单位负责人为同一人或者存在控股、管理关系的不同单位，不得参加同一标段投标或者未划分标段的同一招标项目投标。</w:t>
            </w:r>
          </w:p>
          <w:p>
            <w:pPr>
              <w:tabs>
                <w:tab w:val="left" w:pos="5505"/>
              </w:tabs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与本项目采购人、代理机构或被审计单位存在隶属、重大利益关系的投标人不得参与本项目投标。提供承诺即可。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联合体要求</w:t>
            </w:r>
          </w:p>
        </w:tc>
        <w:tc>
          <w:tcPr>
            <w:tcW w:w="59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5505"/>
              </w:tabs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不接受联合体参加投标。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5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3.2</w:t>
            </w:r>
          </w:p>
        </w:tc>
        <w:tc>
          <w:tcPr>
            <w:tcW w:w="832" w:type="dxa"/>
            <w:vMerge w:val="restart"/>
            <w:noWrap w:val="0"/>
            <w:vAlign w:val="center"/>
          </w:tcPr>
          <w:p>
            <w:pPr>
              <w:spacing w:line="360" w:lineRule="auto"/>
              <w:ind w:left="-230" w:leftChars="-116" w:hanging="14" w:hangingChars="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auto"/>
              <w:ind w:left="-230" w:leftChars="-116" w:hanging="14" w:hangingChars="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响</w:t>
            </w:r>
          </w:p>
          <w:p>
            <w:pPr>
              <w:spacing w:line="360" w:lineRule="auto"/>
              <w:ind w:left="-230" w:leftChars="-116" w:hanging="14" w:hangingChars="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</w:t>
            </w:r>
          </w:p>
          <w:p>
            <w:pPr>
              <w:spacing w:line="360" w:lineRule="auto"/>
              <w:ind w:left="-230" w:leftChars="-116" w:hanging="14" w:hangingChars="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</w:t>
            </w:r>
          </w:p>
          <w:p>
            <w:pPr>
              <w:spacing w:line="360" w:lineRule="auto"/>
              <w:ind w:left="-230" w:leftChars="-116" w:hanging="14" w:hangingChars="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</w:t>
            </w:r>
          </w:p>
          <w:p>
            <w:pPr>
              <w:spacing w:line="360" w:lineRule="auto"/>
              <w:ind w:left="-230" w:leftChars="-116" w:hanging="14" w:hangingChars="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审</w:t>
            </w:r>
          </w:p>
          <w:p>
            <w:pPr>
              <w:spacing w:line="360" w:lineRule="auto"/>
              <w:ind w:left="-230" w:leftChars="-116" w:hanging="14" w:hangingChars="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标</w:t>
            </w:r>
          </w:p>
          <w:p>
            <w:pPr>
              <w:spacing w:line="360" w:lineRule="auto"/>
              <w:ind w:left="-230" w:leftChars="-116" w:hanging="14" w:hangingChars="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准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spacing w:line="360" w:lineRule="auto"/>
              <w:ind w:left="-3" w:leftChars="-20" w:hanging="39" w:hangingChars="1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响应文件的有效性</w:t>
            </w:r>
          </w:p>
        </w:tc>
        <w:tc>
          <w:tcPr>
            <w:tcW w:w="596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响应文件主要内容未按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公告要求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格式填写、内容不全或关键字模糊、无法辨认的不通过响应性评审。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spacing w:line="360" w:lineRule="auto"/>
              <w:ind w:left="-230" w:leftChars="-116" w:hanging="14" w:hangingChars="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spacing w:line="360" w:lineRule="auto"/>
              <w:ind w:left="-3" w:leftChars="-20" w:hanging="39" w:hangingChars="19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投标报价有效性</w:t>
            </w:r>
          </w:p>
        </w:tc>
        <w:tc>
          <w:tcPr>
            <w:tcW w:w="596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投标报价未按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公告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规定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进行报价的不通过响应性评审。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spacing w:line="360" w:lineRule="auto"/>
              <w:ind w:left="-230" w:leftChars="-116" w:hanging="14" w:hangingChars="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spacing w:line="360" w:lineRule="auto"/>
              <w:ind w:left="-3" w:leftChars="-20" w:hanging="39" w:hangingChars="19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服务质量</w:t>
            </w:r>
          </w:p>
        </w:tc>
        <w:tc>
          <w:tcPr>
            <w:tcW w:w="596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服务质量承诺不满足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公告要求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的不通过响应性评审。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spacing w:line="360" w:lineRule="auto"/>
              <w:ind w:left="-230" w:leftChars="-116" w:hanging="14" w:hangingChars="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spacing w:line="360" w:lineRule="auto"/>
              <w:ind w:left="-3" w:leftChars="-20" w:hanging="39" w:hangingChars="19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服务期限承诺</w:t>
            </w:r>
          </w:p>
        </w:tc>
        <w:tc>
          <w:tcPr>
            <w:tcW w:w="5967" w:type="dxa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服务期限承诺不满足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公告要求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的不通过响应性评审。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spacing w:line="360" w:lineRule="auto"/>
              <w:ind w:left="-230" w:leftChars="-116" w:hanging="14" w:hangingChars="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spacing w:line="360" w:lineRule="auto"/>
              <w:ind w:left="-3" w:leftChars="-20" w:hanging="39" w:hangingChars="19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其他商务承诺</w:t>
            </w:r>
          </w:p>
        </w:tc>
        <w:tc>
          <w:tcPr>
            <w:tcW w:w="5967" w:type="dxa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其他商务承诺不满足招标文件要求的不通过响应性评审。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747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综合评分法，评标委员会根据投标供应商最终得分由高至低的顺序推荐1-3名中标候选人。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74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bookmarkStart w:id="3" w:name="_Toc312067870"/>
            <w:bookmarkStart w:id="4" w:name="_Toc356201241"/>
            <w:bookmarkStart w:id="5" w:name="_Toc312067869"/>
            <w:bookmarkStart w:id="6" w:name="_Toc355944309"/>
            <w:bookmarkStart w:id="7" w:name="_Toc302769233"/>
            <w:bookmarkStart w:id="8" w:name="_Toc450311987"/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综合评分办法</w:t>
            </w:r>
          </w:p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text" w:horzAnchor="page" w:tblpX="1202" w:tblpY="1640"/>
        <w:tblOverlap w:val="never"/>
        <w:tblW w:w="9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1785"/>
        <w:gridCol w:w="1450"/>
        <w:gridCol w:w="4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2206" w:type="dxa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hAnsi="华文仿宋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b/>
                <w:color w:val="auto"/>
                <w:sz w:val="24"/>
                <w:szCs w:val="24"/>
              </w:rPr>
              <w:t>价格部分（F1）</w:t>
            </w:r>
          </w:p>
        </w:tc>
        <w:tc>
          <w:tcPr>
            <w:tcW w:w="1785" w:type="dxa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hAnsi="华文仿宋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b/>
                <w:color w:val="auto"/>
                <w:sz w:val="24"/>
                <w:szCs w:val="24"/>
              </w:rPr>
              <w:t>15分</w:t>
            </w:r>
          </w:p>
        </w:tc>
        <w:tc>
          <w:tcPr>
            <w:tcW w:w="1450" w:type="dxa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hAnsi="华文仿宋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b/>
                <w:color w:val="auto"/>
                <w:sz w:val="24"/>
                <w:szCs w:val="24"/>
              </w:rPr>
              <w:t>投标报价15分</w:t>
            </w:r>
          </w:p>
        </w:tc>
        <w:tc>
          <w:tcPr>
            <w:tcW w:w="4310" w:type="dxa"/>
            <w:noWrap/>
            <w:vAlign w:val="top"/>
          </w:tcPr>
          <w:p>
            <w:pPr>
              <w:spacing w:line="360" w:lineRule="auto"/>
              <w:ind w:firstLine="480" w:firstLineChars="200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综合评分法中的价格分统一采用低价优先法计算，即满足招标文件要求且最后报价最低的供应商的价格为评标基准价，其价格分为满分。其他供应商的价格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得</w:t>
            </w:r>
            <w:r>
              <w:rPr>
                <w:rFonts w:hint="eastAsia" w:ascii="仿宋_GB2312" w:hAnsi="华文仿宋" w:eastAsia="仿宋_GB2312"/>
                <w:sz w:val="24"/>
              </w:rPr>
              <w:t>分统一按照下列公式计算：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投标报价得分=（评标基准价/最后投标报价）×15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项目评审过程中，不得去掉最后报价中的最高报价和最低报价。符合小微型企业情形的按折算后的价格进行计算。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2206" w:type="dxa"/>
            <w:vMerge w:val="restart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hAnsi="华文仿宋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b/>
                <w:color w:val="auto"/>
                <w:sz w:val="24"/>
                <w:szCs w:val="24"/>
              </w:rPr>
              <w:t>商务部分(F2)</w:t>
            </w:r>
          </w:p>
        </w:tc>
        <w:tc>
          <w:tcPr>
            <w:tcW w:w="1785" w:type="dxa"/>
            <w:vMerge w:val="restart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hAnsi="华文仿宋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b/>
                <w:color w:val="auto"/>
                <w:sz w:val="24"/>
                <w:szCs w:val="24"/>
              </w:rPr>
              <w:t>20分</w:t>
            </w:r>
          </w:p>
        </w:tc>
        <w:tc>
          <w:tcPr>
            <w:tcW w:w="1450" w:type="dxa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hAnsi="华文仿宋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b/>
                <w:color w:val="auto"/>
                <w:sz w:val="24"/>
                <w:szCs w:val="24"/>
              </w:rPr>
              <w:t>执业经验（10分）</w:t>
            </w:r>
          </w:p>
        </w:tc>
        <w:tc>
          <w:tcPr>
            <w:tcW w:w="4310" w:type="dxa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根据投标人近三年成功案例、社会反响等情况横向对比打分。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优秀，8-10分。有18-20个或以上成功案例。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良好，6-7分。有12-17个成功案例。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一般，1-5分。有1-11个成功案例。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差，无成功案例的得0分。</w:t>
            </w:r>
          </w:p>
          <w:p>
            <w:pPr>
              <w:pStyle w:val="4"/>
              <w:spacing w:line="360" w:lineRule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提供委托证明材料。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06" w:type="dxa"/>
            <w:vMerge w:val="continue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hAnsi="华文仿宋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hAnsi="华文仿宋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hAnsi="华文仿宋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b/>
                <w:color w:val="auto"/>
                <w:sz w:val="24"/>
                <w:szCs w:val="24"/>
              </w:rPr>
              <w:t>工作进度方案（10分）</w:t>
            </w:r>
          </w:p>
        </w:tc>
        <w:tc>
          <w:tcPr>
            <w:tcW w:w="4310" w:type="dxa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满分10分，根据拟定的工作进度方案的合理性，</w:t>
            </w: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保障措施进行横向对比打分。</w:t>
            </w:r>
          </w:p>
          <w:p>
            <w:pPr>
              <w:pStyle w:val="4"/>
              <w:spacing w:line="360" w:lineRule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1、优秀，8-10分。工作进度满足招标要求，且有切实可行的保障措施。</w:t>
            </w:r>
          </w:p>
          <w:p>
            <w:pPr>
              <w:pStyle w:val="4"/>
              <w:spacing w:line="360" w:lineRule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2、良好，6-7分。工作进度满足招标要求，保障措施不够全面。</w:t>
            </w:r>
          </w:p>
          <w:p>
            <w:pPr>
              <w:pStyle w:val="4"/>
              <w:spacing w:line="360" w:lineRule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3、一般，1-5分。工作进度基本满足招标要求，无具体保障措施。</w:t>
            </w:r>
          </w:p>
          <w:p>
            <w:pPr>
              <w:pStyle w:val="4"/>
              <w:spacing w:line="360" w:lineRule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4、差，无工作进度方案描述</w:t>
            </w: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  <w:lang w:val="en-US" w:eastAsia="zh-CN"/>
              </w:rPr>
              <w:t>得</w:t>
            </w:r>
            <w:bookmarkStart w:id="9" w:name="_GoBack"/>
            <w:bookmarkEnd w:id="9"/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206" w:type="dxa"/>
            <w:vMerge w:val="restart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hAnsi="华文仿宋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b/>
                <w:color w:val="auto"/>
                <w:sz w:val="24"/>
                <w:szCs w:val="24"/>
              </w:rPr>
              <w:t>服务部分(F3)</w:t>
            </w:r>
          </w:p>
        </w:tc>
        <w:tc>
          <w:tcPr>
            <w:tcW w:w="1785" w:type="dxa"/>
            <w:vMerge w:val="restart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hAnsi="华文仿宋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b/>
                <w:color w:val="auto"/>
                <w:sz w:val="24"/>
                <w:szCs w:val="24"/>
              </w:rPr>
              <w:t>65分</w:t>
            </w:r>
          </w:p>
        </w:tc>
        <w:tc>
          <w:tcPr>
            <w:tcW w:w="1450" w:type="dxa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hAnsi="华文仿宋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b/>
                <w:color w:val="auto"/>
                <w:sz w:val="24"/>
                <w:szCs w:val="24"/>
              </w:rPr>
              <w:t>总体工作方案（15分）</w:t>
            </w:r>
          </w:p>
        </w:tc>
        <w:tc>
          <w:tcPr>
            <w:tcW w:w="4310" w:type="dxa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满分15分。根据服务方案的科学性、可行性、可操作性等情况横向对比打分。</w:t>
            </w:r>
          </w:p>
          <w:p>
            <w:pPr>
              <w:pStyle w:val="4"/>
              <w:spacing w:line="360" w:lineRule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1、优秀，12-15分。</w:t>
            </w:r>
          </w:p>
          <w:p>
            <w:pPr>
              <w:pStyle w:val="4"/>
              <w:spacing w:line="360" w:lineRule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2、良好，9-11分。</w:t>
            </w:r>
          </w:p>
          <w:p>
            <w:pPr>
              <w:pStyle w:val="4"/>
              <w:spacing w:line="360" w:lineRule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3、一般，1-8分。</w:t>
            </w:r>
          </w:p>
          <w:p>
            <w:pPr>
              <w:pStyle w:val="4"/>
              <w:spacing w:line="360" w:lineRule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4、差0分。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206" w:type="dxa"/>
            <w:vMerge w:val="continue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hAnsi="华文仿宋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hAnsi="华文仿宋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hAnsi="华文仿宋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b/>
                <w:color w:val="auto"/>
                <w:sz w:val="24"/>
                <w:szCs w:val="24"/>
              </w:rPr>
              <w:t>服务能力（25分）</w:t>
            </w:r>
          </w:p>
        </w:tc>
        <w:tc>
          <w:tcPr>
            <w:tcW w:w="4310" w:type="dxa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满分25分，根据项目实际情况拟配备的人数、人员素质、人员专业配置合理性；设备配备、办公条件等后勤保障措施进行横向对比打分，不得夸大实际。</w:t>
            </w:r>
          </w:p>
          <w:p>
            <w:pPr>
              <w:pStyle w:val="4"/>
              <w:spacing w:line="360" w:lineRule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1、优秀，20-25分。</w:t>
            </w:r>
          </w:p>
          <w:p>
            <w:pPr>
              <w:pStyle w:val="4"/>
              <w:spacing w:line="360" w:lineRule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2、良好，15-19分。</w:t>
            </w:r>
          </w:p>
          <w:p>
            <w:pPr>
              <w:pStyle w:val="4"/>
              <w:spacing w:line="360" w:lineRule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3、一般，3-14分。</w:t>
            </w:r>
          </w:p>
          <w:p>
            <w:pPr>
              <w:pStyle w:val="4"/>
              <w:spacing w:line="360" w:lineRule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4、差0-2分。</w:t>
            </w:r>
          </w:p>
          <w:p>
            <w:pPr>
              <w:pStyle w:val="4"/>
              <w:spacing w:line="360" w:lineRule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8" w:hRule="atLeast"/>
        </w:trPr>
        <w:tc>
          <w:tcPr>
            <w:tcW w:w="2206" w:type="dxa"/>
            <w:vMerge w:val="continue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hAnsi="华文仿宋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hAnsi="华文仿宋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hAnsi="华文仿宋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b/>
                <w:color w:val="auto"/>
                <w:sz w:val="24"/>
                <w:szCs w:val="24"/>
              </w:rPr>
              <w:t>质量控制（8分）</w:t>
            </w:r>
          </w:p>
        </w:tc>
        <w:tc>
          <w:tcPr>
            <w:tcW w:w="4310" w:type="dxa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满分8分，根据拟定的质量控制方案的可靠性、可行性等情况进行横向对比打分。</w:t>
            </w:r>
          </w:p>
          <w:p>
            <w:pPr>
              <w:pStyle w:val="4"/>
              <w:spacing w:line="360" w:lineRule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1、优秀（7-8分）；</w:t>
            </w:r>
          </w:p>
          <w:p>
            <w:pPr>
              <w:pStyle w:val="4"/>
              <w:spacing w:line="360" w:lineRule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2、良好（5-6分）；</w:t>
            </w:r>
          </w:p>
          <w:p>
            <w:pPr>
              <w:pStyle w:val="4"/>
              <w:spacing w:line="360" w:lineRule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3、一般（1-5分）；</w:t>
            </w:r>
          </w:p>
          <w:p>
            <w:pPr>
              <w:pStyle w:val="4"/>
              <w:spacing w:line="360" w:lineRule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4、差0分。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206" w:type="dxa"/>
            <w:vMerge w:val="continue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hAnsi="华文仿宋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hAnsi="华文仿宋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hAnsi="华文仿宋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b/>
                <w:color w:val="auto"/>
                <w:sz w:val="24"/>
                <w:szCs w:val="24"/>
              </w:rPr>
              <w:t>风险控制（7分）</w:t>
            </w:r>
          </w:p>
        </w:tc>
        <w:tc>
          <w:tcPr>
            <w:tcW w:w="4310" w:type="dxa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满分7分，根据拟定的风险控制方案的可靠性、可行性等情况进行横向对比打分。</w:t>
            </w:r>
          </w:p>
          <w:p>
            <w:pPr>
              <w:pStyle w:val="4"/>
              <w:spacing w:line="360" w:lineRule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1、优秀（6-7分）；</w:t>
            </w:r>
          </w:p>
          <w:p>
            <w:pPr>
              <w:pStyle w:val="4"/>
              <w:spacing w:line="360" w:lineRule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2、良好（5分）；</w:t>
            </w:r>
          </w:p>
          <w:p>
            <w:pPr>
              <w:pStyle w:val="4"/>
              <w:spacing w:line="360" w:lineRule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3、一般（1-4分）；</w:t>
            </w:r>
          </w:p>
          <w:p>
            <w:pPr>
              <w:pStyle w:val="4"/>
              <w:spacing w:line="360" w:lineRule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4、差0分。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206" w:type="dxa"/>
            <w:vMerge w:val="continue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hAnsi="华文仿宋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hAnsi="华文仿宋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hAnsi="华文仿宋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b/>
                <w:color w:val="auto"/>
                <w:sz w:val="24"/>
                <w:szCs w:val="24"/>
              </w:rPr>
              <w:t>服务承诺（10分）</w:t>
            </w:r>
          </w:p>
        </w:tc>
        <w:tc>
          <w:tcPr>
            <w:tcW w:w="4310" w:type="dxa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满分10分。根据服务承诺、保障措施及违约责任承诺情况横向对比，按对采购人有利程度打分。</w:t>
            </w:r>
          </w:p>
          <w:p>
            <w:pPr>
              <w:pStyle w:val="4"/>
              <w:spacing w:line="360" w:lineRule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1、优秀（8-10分）；</w:t>
            </w:r>
          </w:p>
          <w:p>
            <w:pPr>
              <w:pStyle w:val="4"/>
              <w:spacing w:line="360" w:lineRule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2、良好（6-7分）；</w:t>
            </w:r>
          </w:p>
          <w:p>
            <w:pPr>
              <w:pStyle w:val="4"/>
              <w:spacing w:line="360" w:lineRule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3、一般（1-5分）；</w:t>
            </w:r>
          </w:p>
          <w:p>
            <w:pPr>
              <w:pStyle w:val="4"/>
              <w:spacing w:line="360" w:lineRule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4、差0分。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206" w:type="dxa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hAnsi="华文仿宋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b/>
                <w:color w:val="auto"/>
                <w:sz w:val="24"/>
                <w:szCs w:val="24"/>
              </w:rPr>
              <w:t>供应商总得分</w:t>
            </w:r>
          </w:p>
        </w:tc>
        <w:tc>
          <w:tcPr>
            <w:tcW w:w="7545" w:type="dxa"/>
            <w:gridSpan w:val="3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=F1+F2+F3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bookmarkEnd w:id="3"/>
    <w:bookmarkEnd w:id="4"/>
    <w:bookmarkEnd w:id="5"/>
    <w:bookmarkEnd w:id="6"/>
    <w:bookmarkEnd w:id="7"/>
    <w:bookmarkEnd w:id="8"/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D0D1F3"/>
    <w:multiLevelType w:val="singleLevel"/>
    <w:tmpl w:val="A3D0D1F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ODY5MjUwODQwZjZhYTM3MGIwMjFmYmU3MTFiMDQifQ=="/>
    <w:docVar w:name="KSO_WPS_MARK_KEY" w:val="1c34b765-b5de-4868-881b-c264a155d7fa"/>
  </w:docVars>
  <w:rsids>
    <w:rsidRoot w:val="42EF1B19"/>
    <w:rsid w:val="001F465D"/>
    <w:rsid w:val="02907C27"/>
    <w:rsid w:val="03B27A9A"/>
    <w:rsid w:val="09826EAD"/>
    <w:rsid w:val="0DAE6571"/>
    <w:rsid w:val="10C24EDD"/>
    <w:rsid w:val="12650E98"/>
    <w:rsid w:val="13E27C53"/>
    <w:rsid w:val="1CF13202"/>
    <w:rsid w:val="1E237E08"/>
    <w:rsid w:val="1EEA1E45"/>
    <w:rsid w:val="21516F3A"/>
    <w:rsid w:val="22862E73"/>
    <w:rsid w:val="23DA47D0"/>
    <w:rsid w:val="25DC3C31"/>
    <w:rsid w:val="268640E4"/>
    <w:rsid w:val="2A375970"/>
    <w:rsid w:val="35965121"/>
    <w:rsid w:val="3ED408DB"/>
    <w:rsid w:val="428438F4"/>
    <w:rsid w:val="42EF1B19"/>
    <w:rsid w:val="44F84BB9"/>
    <w:rsid w:val="4767180E"/>
    <w:rsid w:val="489247EE"/>
    <w:rsid w:val="4CE03C2F"/>
    <w:rsid w:val="4E153EC8"/>
    <w:rsid w:val="569E6F22"/>
    <w:rsid w:val="5DA46B18"/>
    <w:rsid w:val="63EF4A1F"/>
    <w:rsid w:val="6536580F"/>
    <w:rsid w:val="65595AB0"/>
    <w:rsid w:val="6D5C2D45"/>
    <w:rsid w:val="6E242772"/>
    <w:rsid w:val="71BF0609"/>
    <w:rsid w:val="73051B17"/>
    <w:rsid w:val="77A06809"/>
    <w:rsid w:val="7E18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9"/>
    <w:pPr>
      <w:keepNext/>
      <w:keepLines/>
      <w:spacing w:line="600" w:lineRule="exact"/>
      <w:jc w:val="center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styleId="4">
    <w:name w:val="Plain Text"/>
    <w:basedOn w:val="1"/>
    <w:next w:val="1"/>
    <w:qFormat/>
    <w:uiPriority w:val="0"/>
    <w:rPr>
      <w:rFonts w:ascii="宋体" w:hAnsi="Courier New"/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2023-12-06T03:47:00Z</dcterms:created>
  <dc:creator>小虎牙</dc:creator>
  <cp:lastModifiedBy>杨朝贵</cp:lastModifiedBy>
  <dcterms:modified xsi:type="dcterms:W3CDTF">2024-02-22T01:42:44Z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E9967D67D2F146FD9C1F46828ACDB04F</vt:lpwstr>
  </property>
</Properties>
</file>