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cs="Times New Roman"/>
          <w:sz w:val="30"/>
          <w:szCs w:val="30"/>
        </w:rPr>
      </w:pPr>
      <w:r>
        <w:rPr>
          <w:rFonts w:ascii="Times New Roman" w:hAnsi="Times New Roman" w:eastAsia="黑体" w:cs="Times New Roman"/>
          <w:sz w:val="30"/>
          <w:szCs w:val="30"/>
        </w:rPr>
        <w:t>附件2：</w:t>
      </w:r>
    </w:p>
    <w:p>
      <w:pPr>
        <w:jc w:val="center"/>
        <w:rPr>
          <w:rFonts w:ascii="黑体" w:hAnsi="黑体" w:eastAsia="黑体"/>
          <w:bCs/>
          <w:sz w:val="30"/>
          <w:szCs w:val="30"/>
        </w:rPr>
      </w:pPr>
      <w:r>
        <w:rPr>
          <w:rFonts w:hint="eastAsia" w:ascii="黑体" w:hAnsi="黑体" w:eastAsia="黑体"/>
          <w:bCs/>
          <w:sz w:val="30"/>
          <w:szCs w:val="30"/>
        </w:rPr>
        <w:t>龙源矿业（镇康县）有限公司镇康县小尖山石膏矿</w:t>
      </w:r>
    </w:p>
    <w:p>
      <w:pPr>
        <w:jc w:val="center"/>
        <w:rPr>
          <w:rFonts w:ascii="黑体" w:hAnsi="黑体" w:eastAsia="黑体"/>
          <w:sz w:val="30"/>
          <w:szCs w:val="30"/>
        </w:rPr>
      </w:pPr>
      <w:r>
        <w:rPr>
          <w:rFonts w:hint="eastAsia" w:ascii="黑体" w:hAnsi="黑体" w:eastAsia="黑体"/>
          <w:sz w:val="30"/>
          <w:szCs w:val="30"/>
        </w:rPr>
        <w:t>矿山地质环境保护与土地复垦方案评审审查表</w:t>
      </w:r>
    </w:p>
    <w:tbl>
      <w:tblPr>
        <w:tblStyle w:val="8"/>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4"/>
        <w:gridCol w:w="1986"/>
        <w:gridCol w:w="2410"/>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80"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生产（建设）项目名称</w:t>
            </w:r>
          </w:p>
        </w:tc>
        <w:tc>
          <w:tcPr>
            <w:tcW w:w="6095" w:type="dxa"/>
            <w:gridSpan w:val="2"/>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bCs/>
                <w:sz w:val="24"/>
                <w:szCs w:val="24"/>
              </w:rPr>
              <w:t>镇康县小尖山石膏矿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80"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生产（建设）单位名称</w:t>
            </w:r>
          </w:p>
        </w:tc>
        <w:tc>
          <w:tcPr>
            <w:tcW w:w="6095" w:type="dxa"/>
            <w:gridSpan w:val="2"/>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bCs/>
                <w:sz w:val="24"/>
                <w:szCs w:val="24"/>
              </w:rPr>
              <w:t>龙源矿业（镇康县）有限公司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9" w:hRule="atLeast"/>
        </w:trPr>
        <w:tc>
          <w:tcPr>
            <w:tcW w:w="2580" w:type="dxa"/>
            <w:gridSpan w:val="2"/>
            <w:vMerge w:val="restart"/>
            <w:vAlign w:val="center"/>
          </w:tcPr>
          <w:p>
            <w:pPr>
              <w:spacing w:line="360" w:lineRule="auto"/>
              <w:jc w:val="center"/>
              <w:rPr>
                <w:rFonts w:ascii="Times New Roman" w:hAnsi="Times New Roman" w:cs="Times New Roman"/>
                <w:b/>
                <w:sz w:val="24"/>
                <w:szCs w:val="24"/>
              </w:rPr>
            </w:pPr>
            <w:r>
              <w:rPr>
                <w:rFonts w:ascii="Times New Roman" w:hAnsi="Times New Roman" w:cs="Times New Roman"/>
                <w:sz w:val="24"/>
                <w:szCs w:val="24"/>
              </w:rPr>
              <w:t>方案编制单位名称</w:t>
            </w:r>
          </w:p>
        </w:tc>
        <w:tc>
          <w:tcPr>
            <w:tcW w:w="6095"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bCs/>
                <w:sz w:val="24"/>
                <w:szCs w:val="24"/>
              </w:rPr>
              <w:t>西南能矿建设工程有限公司（地质环境保护部分）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8" w:hRule="atLeast"/>
        </w:trPr>
        <w:tc>
          <w:tcPr>
            <w:tcW w:w="2580" w:type="dxa"/>
            <w:gridSpan w:val="2"/>
            <w:vMerge w:val="continue"/>
            <w:vAlign w:val="center"/>
          </w:tcPr>
          <w:p>
            <w:pPr>
              <w:spacing w:line="360" w:lineRule="auto"/>
              <w:jc w:val="center"/>
              <w:rPr>
                <w:rFonts w:ascii="Times New Roman" w:hAnsi="Times New Roman" w:cs="Times New Roman"/>
                <w:sz w:val="24"/>
                <w:szCs w:val="24"/>
              </w:rPr>
            </w:pPr>
          </w:p>
        </w:tc>
        <w:tc>
          <w:tcPr>
            <w:tcW w:w="6095" w:type="dxa"/>
            <w:gridSpan w:val="2"/>
            <w:vAlign w:val="center"/>
          </w:tcPr>
          <w:p>
            <w:pPr>
              <w:spacing w:line="360" w:lineRule="auto"/>
              <w:jc w:val="center"/>
              <w:rPr>
                <w:rFonts w:ascii="Times New Roman" w:hAnsi="Times New Roman" w:cs="Times New Roman"/>
                <w:bCs/>
                <w:sz w:val="24"/>
                <w:szCs w:val="24"/>
              </w:rPr>
            </w:pPr>
            <w:r>
              <w:rPr>
                <w:rFonts w:hint="eastAsia" w:ascii="Times New Roman" w:hAnsi="Times New Roman" w:cs="Times New Roman"/>
                <w:bCs/>
                <w:sz w:val="24"/>
                <w:szCs w:val="24"/>
              </w:rPr>
              <w:t>龙源矿业（镇康县）有限公司（土地复垦部分）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0" w:hRule="atLeast"/>
        </w:trPr>
        <w:tc>
          <w:tcPr>
            <w:tcW w:w="2580" w:type="dxa"/>
            <w:gridSpan w:val="2"/>
            <w:vMerge w:val="restart"/>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复垦责任范围面积</w:t>
            </w:r>
          </w:p>
        </w:tc>
        <w:tc>
          <w:tcPr>
            <w:tcW w:w="2410" w:type="dxa"/>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占用土地</w:t>
            </w:r>
          </w:p>
        </w:tc>
        <w:tc>
          <w:tcPr>
            <w:tcW w:w="3685" w:type="dxa"/>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0.1574公顷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0" w:hRule="atLeast"/>
        </w:trPr>
        <w:tc>
          <w:tcPr>
            <w:tcW w:w="2580" w:type="dxa"/>
            <w:gridSpan w:val="2"/>
            <w:vMerge w:val="continue"/>
            <w:vAlign w:val="center"/>
          </w:tcPr>
          <w:p>
            <w:pPr>
              <w:spacing w:line="360" w:lineRule="auto"/>
              <w:jc w:val="center"/>
              <w:rPr>
                <w:rFonts w:ascii="Times New Roman" w:hAnsi="Times New Roman" w:cs="Times New Roman"/>
                <w:sz w:val="24"/>
                <w:szCs w:val="24"/>
              </w:rPr>
            </w:pPr>
          </w:p>
        </w:tc>
        <w:tc>
          <w:tcPr>
            <w:tcW w:w="2410"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损毁土地面积</w:t>
            </w:r>
          </w:p>
        </w:tc>
        <w:tc>
          <w:tcPr>
            <w:tcW w:w="3685" w:type="dxa"/>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13.9305公顷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80"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生产能力（或投资规模）</w:t>
            </w:r>
          </w:p>
        </w:tc>
        <w:tc>
          <w:tcPr>
            <w:tcW w:w="6095" w:type="dxa"/>
            <w:gridSpan w:val="2"/>
            <w:vAlign w:val="center"/>
          </w:tcPr>
          <w:p>
            <w:pPr>
              <w:spacing w:line="360" w:lineRule="auto"/>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rPr>
              <w:t>6.0万</w:t>
            </w:r>
            <w:r>
              <w:rPr>
                <w:rFonts w:hint="eastAsia" w:ascii="Times New Roman" w:hAnsi="Times New Roman" w:cs="Times New Roman"/>
                <w:sz w:val="24"/>
                <w:szCs w:val="24"/>
                <w:lang w:val="en-US" w:eastAsia="zh-CN"/>
              </w:rPr>
              <w:t>吨</w:t>
            </w:r>
            <w:bookmarkStart w:id="0" w:name="_GoBack"/>
            <w:bookmarkEnd w:id="0"/>
            <w:r>
              <w:rPr>
                <w:rFonts w:hint="eastAsia" w:ascii="Times New Roman" w:hAnsi="Times New Roman" w:cs="Times New Roman"/>
                <w:sz w:val="24"/>
                <w:szCs w:val="24"/>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580"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生产年限（或建设期限）</w:t>
            </w:r>
          </w:p>
        </w:tc>
        <w:tc>
          <w:tcPr>
            <w:tcW w:w="6095" w:type="dxa"/>
            <w:gridSpan w:val="2"/>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18年（2023年4月-2041年3月）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94" w:type="dxa"/>
            <w:vAlign w:val="center"/>
          </w:tcPr>
          <w:p>
            <w:pPr>
              <w:spacing w:line="360" w:lineRule="auto"/>
              <w:jc w:val="center"/>
              <w:rPr>
                <w:rFonts w:ascii="黑体" w:hAnsi="黑体" w:eastAsia="黑体" w:cs="Times New Roman"/>
                <w:sz w:val="28"/>
                <w:szCs w:val="28"/>
              </w:rPr>
            </w:pPr>
            <w:r>
              <w:rPr>
                <w:rFonts w:hint="eastAsia" w:ascii="黑体" w:hAnsi="黑体" w:eastAsia="黑体" w:cs="Times New Roman"/>
                <w:sz w:val="28"/>
                <w:szCs w:val="28"/>
              </w:rPr>
              <w:t>专家评审结论</w:t>
            </w:r>
          </w:p>
        </w:tc>
        <w:tc>
          <w:tcPr>
            <w:tcW w:w="8081" w:type="dxa"/>
            <w:gridSpan w:val="3"/>
            <w:vAlign w:val="center"/>
          </w:tcPr>
          <w:p>
            <w:pPr>
              <w:spacing w:line="540" w:lineRule="exact"/>
              <w:ind w:firstLine="480" w:firstLineChars="200"/>
              <w:rPr>
                <w:rFonts w:ascii="宋体" w:hAnsi="宋体"/>
                <w:b/>
                <w:sz w:val="24"/>
              </w:rPr>
            </w:pPr>
            <w:r>
              <w:rPr>
                <w:rFonts w:hint="eastAsia" w:ascii="宋体" w:hAnsi="宋体"/>
                <w:sz w:val="24"/>
              </w:rPr>
              <w:t>2023年4月13日，受临沧市自然资源和规划局委托，在昆明组织专家对</w:t>
            </w:r>
            <w:r>
              <w:rPr>
                <w:rFonts w:ascii="宋体" w:hAnsi="宋体"/>
                <w:sz w:val="24"/>
              </w:rPr>
              <w:t>西南能矿建设工程有限公司、</w:t>
            </w:r>
            <w:r>
              <w:rPr>
                <w:rFonts w:hint="eastAsia" w:ascii="宋体" w:hAnsi="宋体"/>
                <w:bCs/>
                <w:sz w:val="24"/>
              </w:rPr>
              <w:t>龙源矿业（镇康县）有限公司</w:t>
            </w:r>
            <w:r>
              <w:rPr>
                <w:rFonts w:hint="eastAsia" w:ascii="宋体" w:hAnsi="宋体"/>
                <w:sz w:val="24"/>
              </w:rPr>
              <w:t>编制的“</w:t>
            </w:r>
            <w:r>
              <w:rPr>
                <w:rFonts w:hint="eastAsia" w:ascii="宋体" w:hAnsi="宋体"/>
                <w:bCs/>
                <w:sz w:val="24"/>
              </w:rPr>
              <w:t>龙源矿业（镇康县）有限公司镇康县小尖山石膏矿</w:t>
            </w:r>
            <w:r>
              <w:rPr>
                <w:rFonts w:hint="eastAsia" w:ascii="宋体" w:hAnsi="宋体"/>
                <w:sz w:val="24"/>
              </w:rPr>
              <w:t>矿山地质环境保护与土地复垦方案”进行了评审，与会专家在审阅报告、听取介绍和讨论的基础上，形成以下评审意见：</w:t>
            </w:r>
          </w:p>
          <w:p>
            <w:pPr>
              <w:autoSpaceDE w:val="0"/>
              <w:autoSpaceDN w:val="0"/>
              <w:adjustRightInd w:val="0"/>
              <w:spacing w:line="540" w:lineRule="exact"/>
              <w:ind w:firstLine="482" w:firstLineChars="200"/>
              <w:jc w:val="left"/>
              <w:rPr>
                <w:rFonts w:ascii="宋体" w:hAnsi="宋体"/>
                <w:b/>
                <w:color w:val="000000"/>
                <w:sz w:val="24"/>
                <w:szCs w:val="24"/>
              </w:rPr>
            </w:pPr>
            <w:r>
              <w:rPr>
                <w:rFonts w:hint="eastAsia" w:ascii="宋体" w:hAnsi="宋体"/>
                <w:b/>
                <w:color w:val="000000"/>
                <w:sz w:val="24"/>
                <w:szCs w:val="24"/>
              </w:rPr>
              <w:t>一、项目基本情况</w:t>
            </w:r>
          </w:p>
          <w:p>
            <w:pPr>
              <w:autoSpaceDE w:val="0"/>
              <w:autoSpaceDN w:val="0"/>
              <w:adjustRightInd w:val="0"/>
              <w:spacing w:line="540" w:lineRule="exact"/>
              <w:ind w:firstLine="480" w:firstLineChars="200"/>
              <w:rPr>
                <w:rFonts w:hint="eastAsia" w:ascii="宋体" w:hAnsi="宋体"/>
                <w:bCs/>
                <w:sz w:val="24"/>
                <w:szCs w:val="24"/>
              </w:rPr>
            </w:pPr>
            <w:r>
              <w:rPr>
                <w:rFonts w:ascii="宋体" w:hAnsi="宋体"/>
                <w:bCs/>
                <w:sz w:val="24"/>
                <w:szCs w:val="24"/>
              </w:rPr>
              <w:t>矿区位于</w:t>
            </w:r>
            <w:r>
              <w:rPr>
                <w:rFonts w:ascii="宋体" w:hAnsi="宋体" w:cs="宋体"/>
                <w:bCs/>
                <w:sz w:val="24"/>
              </w:rPr>
              <w:t>镇康县城</w:t>
            </w:r>
            <w:r>
              <w:rPr>
                <w:rFonts w:hint="eastAsia" w:ascii="宋体" w:hAnsi="宋体" w:cs="宋体"/>
                <w:bCs/>
                <w:sz w:val="24"/>
              </w:rPr>
              <w:t>51</w:t>
            </w:r>
            <w:r>
              <w:rPr>
                <w:rFonts w:ascii="宋体" w:hAnsi="宋体" w:cs="宋体"/>
                <w:bCs/>
                <w:sz w:val="24"/>
              </w:rPr>
              <w:t>°</w:t>
            </w:r>
            <w:r>
              <w:rPr>
                <w:rFonts w:ascii="宋体" w:hAnsi="宋体"/>
                <w:bCs/>
                <w:sz w:val="24"/>
                <w:szCs w:val="24"/>
              </w:rPr>
              <w:t>方向，</w:t>
            </w:r>
            <w:r>
              <w:rPr>
                <w:rFonts w:ascii="宋体" w:hAnsi="宋体" w:cs="宋体"/>
                <w:bCs/>
                <w:sz w:val="24"/>
              </w:rPr>
              <w:t>直线距离约</w:t>
            </w:r>
            <w:r>
              <w:rPr>
                <w:rFonts w:hint="eastAsia" w:ascii="宋体" w:hAnsi="宋体" w:cs="宋体"/>
                <w:bCs/>
                <w:sz w:val="24"/>
              </w:rPr>
              <w:t>25</w:t>
            </w:r>
            <w:r>
              <w:rPr>
                <w:rFonts w:hint="eastAsia" w:ascii="宋体" w:hAnsi="宋体" w:cs="宋体"/>
                <w:bCs/>
                <w:sz w:val="24"/>
                <w:lang w:val="en-US" w:eastAsia="zh-CN"/>
              </w:rPr>
              <w:t>千米</w:t>
            </w:r>
            <w:r>
              <w:rPr>
                <w:rFonts w:ascii="宋体" w:hAnsi="宋体" w:cs="宋体"/>
                <w:bCs/>
                <w:sz w:val="24"/>
              </w:rPr>
              <w:t>处</w:t>
            </w:r>
            <w:r>
              <w:rPr>
                <w:rFonts w:hint="eastAsia" w:ascii="宋体" w:hAnsi="宋体"/>
                <w:bCs/>
                <w:sz w:val="24"/>
                <w:szCs w:val="24"/>
              </w:rPr>
              <w:t>，矿区面积</w:t>
            </w:r>
            <w:r>
              <w:rPr>
                <w:rFonts w:ascii="宋体" w:hAnsi="宋体"/>
                <w:sz w:val="24"/>
              </w:rPr>
              <w:t>0.0877</w:t>
            </w:r>
            <w:r>
              <w:rPr>
                <w:rFonts w:hint="eastAsia" w:ascii="宋体" w:hAnsi="宋体"/>
                <w:bCs/>
                <w:sz w:val="24"/>
                <w:szCs w:val="24"/>
                <w:lang w:val="en-US" w:eastAsia="zh-CN"/>
              </w:rPr>
              <w:t>平方千米</w:t>
            </w:r>
            <w:r>
              <w:rPr>
                <w:rFonts w:hint="eastAsia" w:ascii="宋体" w:hAnsi="宋体"/>
                <w:bCs/>
                <w:sz w:val="24"/>
                <w:szCs w:val="24"/>
              </w:rPr>
              <w:t>，开采标高</w:t>
            </w:r>
            <w:r>
              <w:rPr>
                <w:rFonts w:ascii="宋体" w:hAnsi="宋体"/>
                <w:bCs/>
                <w:sz w:val="24"/>
                <w:szCs w:val="24"/>
              </w:rPr>
              <w:t>1520</w:t>
            </w:r>
            <w:r>
              <w:rPr>
                <w:rFonts w:hint="eastAsia" w:ascii="宋体" w:hAnsi="宋体"/>
                <w:bCs/>
                <w:sz w:val="24"/>
                <w:szCs w:val="24"/>
                <w:lang w:val="en-US" w:eastAsia="zh-CN"/>
              </w:rPr>
              <w:t>米</w:t>
            </w:r>
            <w:r>
              <w:rPr>
                <w:rFonts w:ascii="宋体" w:hAnsi="宋体"/>
                <w:bCs/>
                <w:sz w:val="24"/>
                <w:szCs w:val="24"/>
              </w:rPr>
              <w:t>至1100</w:t>
            </w:r>
            <w:r>
              <w:rPr>
                <w:rFonts w:hint="eastAsia" w:ascii="宋体" w:hAnsi="宋体"/>
                <w:bCs/>
                <w:sz w:val="24"/>
                <w:szCs w:val="24"/>
                <w:lang w:val="en-US" w:eastAsia="zh-CN"/>
              </w:rPr>
              <w:t>米</w:t>
            </w:r>
            <w:r>
              <w:rPr>
                <w:rFonts w:hint="eastAsia" w:ascii="宋体" w:hAnsi="宋体"/>
                <w:bCs/>
                <w:sz w:val="24"/>
                <w:szCs w:val="24"/>
              </w:rPr>
              <w:t>，生产规模为6.0</w:t>
            </w:r>
            <w:r>
              <w:rPr>
                <w:rFonts w:ascii="宋体" w:hAnsi="宋体"/>
                <w:bCs/>
                <w:sz w:val="24"/>
                <w:szCs w:val="24"/>
              </w:rPr>
              <w:t>万</w:t>
            </w:r>
            <w:r>
              <w:rPr>
                <w:rFonts w:hint="eastAsia" w:ascii="宋体" w:hAnsi="宋体"/>
                <w:bCs/>
                <w:sz w:val="24"/>
                <w:szCs w:val="24"/>
                <w:lang w:val="en-US" w:eastAsia="zh-CN"/>
              </w:rPr>
              <w:t>吨每年</w:t>
            </w:r>
            <w:r>
              <w:rPr>
                <w:rFonts w:hint="eastAsia" w:ascii="宋体" w:hAnsi="宋体"/>
                <w:bCs/>
                <w:sz w:val="24"/>
                <w:szCs w:val="24"/>
              </w:rPr>
              <w:t>。</w:t>
            </w:r>
          </w:p>
          <w:p>
            <w:pPr>
              <w:autoSpaceDE w:val="0"/>
              <w:autoSpaceDN w:val="0"/>
              <w:adjustRightInd w:val="0"/>
              <w:spacing w:line="540" w:lineRule="exact"/>
              <w:ind w:firstLine="482" w:firstLineChars="200"/>
              <w:jc w:val="left"/>
              <w:rPr>
                <w:rFonts w:ascii="宋体" w:hAnsi="宋体"/>
                <w:b/>
                <w:sz w:val="24"/>
                <w:szCs w:val="24"/>
              </w:rPr>
            </w:pPr>
            <w:r>
              <w:rPr>
                <w:rFonts w:hint="eastAsia" w:ascii="宋体" w:hAnsi="宋体"/>
                <w:b/>
                <w:sz w:val="24"/>
                <w:szCs w:val="24"/>
              </w:rPr>
              <w:t>二、矿山地质环境保护部分</w:t>
            </w:r>
          </w:p>
          <w:p>
            <w:pPr>
              <w:autoSpaceDE w:val="0"/>
              <w:autoSpaceDN w:val="0"/>
              <w:adjustRightInd w:val="0"/>
              <w:spacing w:line="540" w:lineRule="exact"/>
              <w:ind w:firstLine="480" w:firstLineChars="200"/>
              <w:jc w:val="left"/>
              <w:rPr>
                <w:rFonts w:ascii="宋体" w:hAnsi="宋体"/>
                <w:sz w:val="24"/>
                <w:szCs w:val="24"/>
              </w:rPr>
            </w:pPr>
            <w:r>
              <w:rPr>
                <w:rFonts w:hint="eastAsia" w:ascii="宋体" w:hAnsi="宋体"/>
                <w:sz w:val="24"/>
                <w:szCs w:val="24"/>
              </w:rPr>
              <w:t>（一）该矿山为延续矿山，属小型矿山。评估区地质环境条件复杂程度为复杂类型，重要程度分级属重要区；按评估精度一级开展矿山地质环境保护部分的编制符合现行规定。</w:t>
            </w:r>
          </w:p>
          <w:p>
            <w:pPr>
              <w:autoSpaceDE w:val="0"/>
              <w:autoSpaceDN w:val="0"/>
              <w:adjustRightInd w:val="0"/>
              <w:spacing w:line="540" w:lineRule="exact"/>
              <w:ind w:firstLine="480" w:firstLineChars="200"/>
              <w:jc w:val="left"/>
              <w:rPr>
                <w:rFonts w:ascii="宋体" w:hAnsi="宋体"/>
                <w:sz w:val="24"/>
                <w:szCs w:val="24"/>
              </w:rPr>
            </w:pPr>
            <w:r>
              <w:rPr>
                <w:rFonts w:hint="eastAsia" w:ascii="宋体" w:hAnsi="宋体"/>
                <w:sz w:val="24"/>
                <w:szCs w:val="24"/>
              </w:rPr>
              <w:t>（二）本方案确定评估范围面积</w:t>
            </w:r>
            <w:r>
              <w:rPr>
                <w:rFonts w:hint="eastAsia" w:ascii="宋体" w:hAnsi="宋体"/>
                <w:bCs/>
                <w:sz w:val="24"/>
                <w:szCs w:val="24"/>
              </w:rPr>
              <w:t>0.783</w:t>
            </w:r>
            <w:r>
              <w:rPr>
                <w:rFonts w:hint="eastAsia" w:ascii="宋体" w:hAnsi="宋体"/>
                <w:sz w:val="24"/>
                <w:szCs w:val="24"/>
                <w:lang w:val="en-US" w:eastAsia="zh-CN"/>
              </w:rPr>
              <w:t>平方千米</w:t>
            </w:r>
            <w:r>
              <w:rPr>
                <w:rFonts w:hint="eastAsia" w:ascii="宋体" w:hAnsi="宋体"/>
                <w:sz w:val="24"/>
                <w:szCs w:val="24"/>
              </w:rPr>
              <w:t>，完成1:2000环境工程地质调查面积</w:t>
            </w:r>
            <w:r>
              <w:rPr>
                <w:rFonts w:hint="eastAsia" w:ascii="宋体" w:hAnsi="宋体"/>
                <w:bCs/>
                <w:sz w:val="24"/>
                <w:szCs w:val="24"/>
              </w:rPr>
              <w:t>0.783</w:t>
            </w:r>
            <w:r>
              <w:rPr>
                <w:rFonts w:hint="eastAsia" w:ascii="宋体" w:hAnsi="宋体"/>
                <w:sz w:val="24"/>
                <w:szCs w:val="24"/>
                <w:lang w:val="en-US" w:eastAsia="zh-CN"/>
              </w:rPr>
              <w:t>平方千米</w:t>
            </w:r>
            <w:r>
              <w:rPr>
                <w:rFonts w:hint="eastAsia" w:ascii="宋体" w:hAnsi="宋体"/>
                <w:sz w:val="24"/>
                <w:szCs w:val="24"/>
              </w:rPr>
              <w:t>，调查线路2.16</w:t>
            </w:r>
            <w:r>
              <w:rPr>
                <w:rFonts w:hint="eastAsia" w:ascii="宋体" w:hAnsi="宋体"/>
                <w:sz w:val="24"/>
                <w:szCs w:val="24"/>
                <w:lang w:val="en-US" w:eastAsia="zh-CN"/>
              </w:rPr>
              <w:t>千米</w:t>
            </w:r>
            <w:r>
              <w:rPr>
                <w:rFonts w:hint="eastAsia" w:ascii="宋体" w:hAnsi="宋体"/>
                <w:sz w:val="24"/>
                <w:szCs w:val="24"/>
              </w:rPr>
              <w:t>，野外地质调查工作较翔实，能基本满足方案编制工作所需。方案编制工作程序合规，方案要件齐全。</w:t>
            </w:r>
          </w:p>
          <w:p>
            <w:pPr>
              <w:autoSpaceDE w:val="0"/>
              <w:autoSpaceDN w:val="0"/>
              <w:adjustRightInd w:val="0"/>
              <w:spacing w:line="540" w:lineRule="exact"/>
              <w:ind w:firstLine="480" w:firstLineChars="200"/>
              <w:jc w:val="left"/>
              <w:rPr>
                <w:rFonts w:ascii="宋体" w:hAnsi="宋体"/>
                <w:sz w:val="24"/>
                <w:szCs w:val="24"/>
              </w:rPr>
            </w:pPr>
            <w:r>
              <w:rPr>
                <w:rFonts w:hint="eastAsia" w:ascii="宋体" w:hAnsi="宋体"/>
                <w:sz w:val="24"/>
                <w:szCs w:val="24"/>
              </w:rPr>
              <w:t>（三）本方案对矿山开发利用方案、矿山生产现状、矿山地质环境保护与恢复治理现状和评估区地质环境条件进行了介绍，介绍较全面，可作为方案编制的基础。</w:t>
            </w:r>
          </w:p>
          <w:p>
            <w:pPr>
              <w:autoSpaceDE w:val="0"/>
              <w:autoSpaceDN w:val="0"/>
              <w:adjustRightInd w:val="0"/>
              <w:spacing w:line="540" w:lineRule="exact"/>
              <w:ind w:firstLine="480" w:firstLineChars="200"/>
              <w:jc w:val="left"/>
              <w:rPr>
                <w:rFonts w:ascii="宋体" w:hAnsi="宋体"/>
                <w:sz w:val="24"/>
                <w:szCs w:val="24"/>
              </w:rPr>
            </w:pPr>
            <w:r>
              <w:rPr>
                <w:rFonts w:hint="eastAsia" w:ascii="宋体" w:hAnsi="宋体"/>
                <w:sz w:val="24"/>
                <w:szCs w:val="24"/>
              </w:rPr>
              <w:t>（四）现状评估指出：评估区内现状</w:t>
            </w:r>
            <w:r>
              <w:rPr>
                <w:rFonts w:hint="eastAsia" w:ascii="宋体" w:hAnsi="宋体"/>
                <w:sz w:val="24"/>
              </w:rPr>
              <w:t>地质灾害中等发育</w:t>
            </w:r>
            <w:r>
              <w:rPr>
                <w:rFonts w:hint="eastAsia" w:ascii="宋体" w:hAnsi="宋体"/>
                <w:sz w:val="24"/>
                <w:szCs w:val="24"/>
              </w:rPr>
              <w:t>，</w:t>
            </w:r>
            <w:r>
              <w:rPr>
                <w:rFonts w:hint="eastAsia" w:ascii="宋体" w:hAnsi="宋体"/>
                <w:sz w:val="24"/>
              </w:rPr>
              <w:t>危害程度中等，危险性中等</w:t>
            </w:r>
            <w:r>
              <w:rPr>
                <w:rFonts w:hint="eastAsia" w:ascii="宋体" w:hAnsi="宋体"/>
                <w:sz w:val="24"/>
                <w:szCs w:val="24"/>
              </w:rPr>
              <w:t>；矿业活动对地下水资源、土地资源、景观资源的影响或危害较严重。矿山建设适宜性基本适宜。现状评估较客观，反映了现状特征。</w:t>
            </w:r>
          </w:p>
          <w:p>
            <w:pPr>
              <w:autoSpaceDE w:val="0"/>
              <w:autoSpaceDN w:val="0"/>
              <w:adjustRightInd w:val="0"/>
              <w:spacing w:line="540" w:lineRule="exact"/>
              <w:ind w:firstLine="480" w:firstLineChars="200"/>
              <w:jc w:val="left"/>
              <w:rPr>
                <w:rFonts w:ascii="宋体" w:hAnsi="宋体"/>
                <w:sz w:val="24"/>
                <w:szCs w:val="24"/>
              </w:rPr>
            </w:pPr>
            <w:r>
              <w:rPr>
                <w:rFonts w:hint="eastAsia" w:ascii="宋体" w:hAnsi="宋体"/>
                <w:sz w:val="24"/>
                <w:szCs w:val="24"/>
              </w:rPr>
              <w:t>（五）预测评估认为：</w:t>
            </w:r>
            <w:r>
              <w:rPr>
                <w:rFonts w:hint="eastAsia" w:ascii="新宋体" w:hAnsi="新宋体" w:eastAsia="新宋体" w:cs="新宋体"/>
                <w:color w:val="000000"/>
                <w:sz w:val="24"/>
                <w:szCs w:val="24"/>
              </w:rPr>
              <w:t>矿山地形坡度较陡，矿山开采过程中最突出的地质环境问题：一是可能诱发各类次生地质灾害，如</w:t>
            </w:r>
            <w:r>
              <w:rPr>
                <w:rFonts w:hint="eastAsia" w:ascii="宋体" w:hAnsi="宋体"/>
                <w:sz w:val="24"/>
              </w:rPr>
              <w:t>露天开采可能诱发采场边坡滑坡、崩塌、掉块等；地下开采形成的地表移动范围诱发地表塌陷，地表斜坡崩塌、滑坡，矿体开采作业诱发井巷、</w:t>
            </w:r>
            <w:r>
              <w:rPr>
                <w:rFonts w:ascii="宋体" w:hAnsi="宋体"/>
                <w:sz w:val="24"/>
              </w:rPr>
              <w:t>采场</w:t>
            </w:r>
            <w:r>
              <w:rPr>
                <w:rFonts w:hint="eastAsia" w:ascii="宋体" w:hAnsi="宋体"/>
                <w:sz w:val="24"/>
              </w:rPr>
              <w:t>垮塌、掉块、片帮、冒顶，矿井开拓过程中诱发矿坑涌水</w:t>
            </w:r>
            <w:r>
              <w:rPr>
                <w:rFonts w:hint="eastAsia" w:ascii="宋体" w:hAnsi="宋体"/>
                <w:bCs/>
                <w:sz w:val="24"/>
              </w:rPr>
              <w:t>，矿山采矿及建设活动诱发泥石流，</w:t>
            </w:r>
            <w:r>
              <w:rPr>
                <w:rFonts w:hint="eastAsia" w:ascii="宋体" w:hAnsi="宋体"/>
                <w:sz w:val="24"/>
              </w:rPr>
              <w:t>排土场产生滑坡、诱发泥石流，拟建矿山公路、办公生活区边坡失稳、基础沉降等灾害，</w:t>
            </w:r>
            <w:r>
              <w:rPr>
                <w:rFonts w:hint="eastAsia" w:ascii="新宋体" w:hAnsi="新宋体" w:eastAsia="新宋体" w:cs="新宋体"/>
                <w:color w:val="000000"/>
                <w:sz w:val="24"/>
                <w:szCs w:val="24"/>
              </w:rPr>
              <w:t>威胁</w:t>
            </w:r>
            <w:r>
              <w:rPr>
                <w:rFonts w:hint="eastAsia" w:ascii="宋体" w:hAnsi="宋体"/>
                <w:sz w:val="24"/>
              </w:rPr>
              <w:t>施工人员、设备、运输车辆及下游农田及耕作村民的安全</w:t>
            </w:r>
            <w:r>
              <w:rPr>
                <w:rFonts w:hint="eastAsia" w:ascii="新宋体" w:hAnsi="新宋体" w:eastAsia="新宋体" w:cs="新宋体"/>
                <w:color w:val="000000"/>
                <w:sz w:val="24"/>
                <w:szCs w:val="24"/>
              </w:rPr>
              <w:t>；二是矿业活动损毁土地资源总体为严重；三是影响和破坏地形地貌景观。诱发地质灾害的可能性中等-大，地质灾害危害程度、危险性中等-大，局部小。矿山建设适宜性差的结论可信。</w:t>
            </w:r>
          </w:p>
          <w:p>
            <w:pPr>
              <w:autoSpaceDE w:val="0"/>
              <w:autoSpaceDN w:val="0"/>
              <w:adjustRightInd w:val="0"/>
              <w:spacing w:line="540" w:lineRule="exact"/>
              <w:ind w:firstLine="480" w:firstLineChars="200"/>
              <w:jc w:val="left"/>
              <w:rPr>
                <w:rFonts w:ascii="宋体" w:hAnsi="宋体"/>
                <w:sz w:val="24"/>
                <w:szCs w:val="24"/>
              </w:rPr>
            </w:pPr>
            <w:r>
              <w:rPr>
                <w:rFonts w:hint="eastAsia" w:ascii="宋体" w:hAnsi="宋体"/>
                <w:sz w:val="24"/>
                <w:szCs w:val="24"/>
              </w:rPr>
              <w:t>（六）本方案将评估区划分为矿山地质</w:t>
            </w:r>
            <w:r>
              <w:rPr>
                <w:rFonts w:hint="eastAsia" w:ascii="宋体" w:hAnsi="宋体"/>
                <w:sz w:val="24"/>
                <w:szCs w:val="24"/>
                <w:lang w:val="en-US" w:eastAsia="zh-CN"/>
              </w:rPr>
              <w:t>环境</w:t>
            </w:r>
            <w:r>
              <w:rPr>
                <w:rFonts w:hint="eastAsia" w:ascii="宋体" w:hAnsi="宋体"/>
                <w:sz w:val="24"/>
                <w:szCs w:val="24"/>
              </w:rPr>
              <w:t>影响严重区和较轻区二级二区，分级分区基本合理；将评估区划分为重点防治区和一般防治区二级二区，分级分区基本合理；方案适用年限设定为5年（2023年4月-2028年3月）。综合评估结论客观。</w:t>
            </w:r>
          </w:p>
          <w:p>
            <w:pPr>
              <w:autoSpaceDE w:val="0"/>
              <w:autoSpaceDN w:val="0"/>
              <w:adjustRightInd w:val="0"/>
              <w:spacing w:line="540" w:lineRule="exact"/>
              <w:ind w:firstLine="480" w:firstLineChars="200"/>
              <w:jc w:val="left"/>
              <w:rPr>
                <w:rFonts w:ascii="宋体" w:hAnsi="宋体"/>
                <w:sz w:val="24"/>
                <w:szCs w:val="24"/>
              </w:rPr>
            </w:pPr>
            <w:r>
              <w:rPr>
                <w:rFonts w:hint="eastAsia" w:ascii="宋体" w:hAnsi="宋体"/>
                <w:sz w:val="24"/>
                <w:szCs w:val="24"/>
              </w:rPr>
              <w:t>（七）本方案制定的矿山地质环境治理包括工程措施、临时措施、监测预警措施，措施设计有一定针对性和可实施性。</w:t>
            </w:r>
          </w:p>
          <w:p>
            <w:pPr>
              <w:autoSpaceDE w:val="0"/>
              <w:autoSpaceDN w:val="0"/>
              <w:adjustRightInd w:val="0"/>
              <w:spacing w:line="540" w:lineRule="exact"/>
              <w:ind w:firstLine="480" w:firstLineChars="200"/>
              <w:jc w:val="left"/>
              <w:rPr>
                <w:rFonts w:ascii="宋体" w:hAnsi="宋体"/>
                <w:sz w:val="24"/>
                <w:szCs w:val="24"/>
              </w:rPr>
            </w:pPr>
            <w:r>
              <w:rPr>
                <w:rFonts w:hint="eastAsia" w:ascii="宋体" w:hAnsi="宋体"/>
                <w:sz w:val="24"/>
                <w:szCs w:val="24"/>
              </w:rPr>
              <w:t>（八）矿山地质环境治理工程投资估算编制有</w:t>
            </w:r>
            <w:r>
              <w:rPr>
                <w:rFonts w:hint="eastAsia" w:ascii="宋体" w:hAnsi="宋体"/>
                <w:sz w:val="24"/>
                <w:szCs w:val="24"/>
                <w:lang w:val="en-US" w:eastAsia="zh-CN"/>
              </w:rPr>
              <w:t>依</w:t>
            </w:r>
            <w:r>
              <w:rPr>
                <w:rFonts w:hint="eastAsia" w:ascii="宋体" w:hAnsi="宋体"/>
                <w:sz w:val="24"/>
                <w:szCs w:val="24"/>
              </w:rPr>
              <w:t>据，计价计费基本合规，方案编制年限内地质环境保护与恢复治理工程总投资为</w:t>
            </w:r>
            <w:r>
              <w:rPr>
                <w:rFonts w:hint="eastAsia" w:ascii="宋体" w:hAnsi="宋体"/>
                <w:bCs/>
                <w:sz w:val="24"/>
                <w:szCs w:val="24"/>
              </w:rPr>
              <w:t>121.56</w:t>
            </w:r>
            <w:r>
              <w:rPr>
                <w:rFonts w:hint="eastAsia" w:ascii="宋体" w:hAnsi="宋体"/>
                <w:sz w:val="24"/>
                <w:szCs w:val="24"/>
              </w:rPr>
              <w:t>万元，结果较合理。</w:t>
            </w:r>
          </w:p>
          <w:p>
            <w:pPr>
              <w:autoSpaceDE w:val="0"/>
              <w:autoSpaceDN w:val="0"/>
              <w:adjustRightInd w:val="0"/>
              <w:spacing w:line="540" w:lineRule="exact"/>
              <w:ind w:firstLine="482" w:firstLineChars="200"/>
              <w:jc w:val="left"/>
              <w:rPr>
                <w:rFonts w:ascii="宋体" w:hAnsi="宋体"/>
                <w:b/>
                <w:color w:val="000000"/>
                <w:sz w:val="24"/>
                <w:szCs w:val="24"/>
              </w:rPr>
            </w:pPr>
            <w:r>
              <w:rPr>
                <w:rFonts w:hint="eastAsia" w:ascii="宋体" w:hAnsi="宋体"/>
                <w:b/>
                <w:color w:val="000000"/>
                <w:sz w:val="24"/>
                <w:szCs w:val="24"/>
              </w:rPr>
              <w:t>三、土地复垦部分</w:t>
            </w:r>
          </w:p>
          <w:p>
            <w:pPr>
              <w:spacing w:line="540" w:lineRule="exact"/>
              <w:ind w:firstLine="480" w:firstLineChars="200"/>
              <w:jc w:val="left"/>
              <w:rPr>
                <w:rFonts w:ascii="宋体" w:hAnsi="宋体"/>
                <w:color w:val="2C2D2C"/>
                <w:sz w:val="24"/>
                <w:szCs w:val="24"/>
              </w:rPr>
            </w:pPr>
            <w:r>
              <w:rPr>
                <w:rFonts w:hint="eastAsia" w:ascii="宋体" w:hAnsi="宋体"/>
                <w:color w:val="2C2D2C"/>
                <w:sz w:val="24"/>
                <w:szCs w:val="24"/>
              </w:rPr>
              <w:t>（一）本土地复垦方案报告书编制格式符合要求，提出的土地复垦工程措施和生物措施基本可行；复垦费用估算基本合理，可作为指导企业开展土地复垦工作的依据。</w:t>
            </w:r>
          </w:p>
          <w:p>
            <w:pPr>
              <w:spacing w:line="540" w:lineRule="exact"/>
              <w:ind w:firstLine="480" w:firstLineChars="200"/>
              <w:jc w:val="left"/>
              <w:rPr>
                <w:rFonts w:ascii="宋体" w:hAnsi="宋体"/>
                <w:color w:val="2C2D2C"/>
                <w:sz w:val="24"/>
                <w:szCs w:val="24"/>
              </w:rPr>
            </w:pPr>
            <w:r>
              <w:rPr>
                <w:rFonts w:hint="eastAsia" w:ascii="宋体" w:hAnsi="宋体"/>
                <w:color w:val="2C2D2C"/>
                <w:sz w:val="24"/>
                <w:szCs w:val="24"/>
              </w:rPr>
              <w:t xml:space="preserve">（二）原则同意项目损毁土地的预测分析。损毁土地方式主要有挖损、压占。 </w:t>
            </w:r>
            <w:r>
              <w:rPr>
                <w:rFonts w:ascii="宋体" w:hAnsi="宋体"/>
                <w:bCs/>
                <w:sz w:val="24"/>
              </w:rPr>
              <w:t>本矿山已损毁土地面积为</w:t>
            </w:r>
            <w:r>
              <w:rPr>
                <w:rFonts w:hint="eastAsia" w:ascii="宋体" w:hAnsi="宋体"/>
                <w:bCs/>
                <w:sz w:val="24"/>
              </w:rPr>
              <w:t>1.1170公顷</w:t>
            </w:r>
            <w:r>
              <w:rPr>
                <w:rFonts w:ascii="宋体" w:hAnsi="宋体"/>
                <w:bCs/>
                <w:sz w:val="24"/>
              </w:rPr>
              <w:t>，拟损毁土地面积为</w:t>
            </w:r>
            <w:r>
              <w:rPr>
                <w:rFonts w:hint="eastAsia" w:ascii="宋体" w:hAnsi="宋体"/>
                <w:bCs/>
                <w:sz w:val="24"/>
              </w:rPr>
              <w:t>12.8135公顷</w:t>
            </w:r>
            <w:r>
              <w:rPr>
                <w:rFonts w:ascii="宋体" w:hAnsi="宋体"/>
                <w:bCs/>
                <w:sz w:val="24"/>
              </w:rPr>
              <w:t>，复垦区面积为</w:t>
            </w:r>
            <w:r>
              <w:rPr>
                <w:rFonts w:hint="eastAsia" w:ascii="宋体" w:hAnsi="宋体"/>
                <w:bCs/>
                <w:sz w:val="24"/>
              </w:rPr>
              <w:t>13.9305</w:t>
            </w:r>
            <w:r>
              <w:rPr>
                <w:rFonts w:hint="eastAsia" w:ascii="宋体" w:hAnsi="宋体"/>
                <w:sz w:val="24"/>
              </w:rPr>
              <w:t>公顷</w:t>
            </w:r>
            <w:r>
              <w:rPr>
                <w:rFonts w:ascii="宋体" w:hAnsi="宋体"/>
                <w:bCs/>
                <w:sz w:val="24"/>
              </w:rPr>
              <w:t>。</w:t>
            </w:r>
            <w:r>
              <w:rPr>
                <w:rFonts w:hint="eastAsia" w:ascii="宋体" w:hAnsi="宋体"/>
                <w:color w:val="2C2D2C"/>
                <w:sz w:val="24"/>
                <w:szCs w:val="24"/>
              </w:rPr>
              <w:t>复垦责任范围面积</w:t>
            </w:r>
            <w:r>
              <w:rPr>
                <w:rFonts w:hint="eastAsia" w:ascii="宋体" w:hAnsi="宋体"/>
                <w:bCs/>
                <w:color w:val="2C2D2C"/>
                <w:sz w:val="24"/>
                <w:szCs w:val="24"/>
              </w:rPr>
              <w:t>13.9305</w:t>
            </w:r>
            <w:r>
              <w:rPr>
                <w:rFonts w:hint="eastAsia" w:ascii="宋体" w:hAnsi="宋体"/>
                <w:color w:val="2C2D2C"/>
                <w:sz w:val="24"/>
                <w:szCs w:val="24"/>
              </w:rPr>
              <w:t>公顷，其中挖损4.7302公顷、塌陷损毁6.5245公顷、压占损毁2.5184公顷、占用0.1574公顷；地类为：旱地</w:t>
            </w:r>
            <w:r>
              <w:rPr>
                <w:rFonts w:hint="eastAsia" w:ascii="宋体" w:hAnsi="宋体"/>
                <w:bCs/>
                <w:color w:val="2C2D2C"/>
                <w:sz w:val="24"/>
                <w:szCs w:val="24"/>
              </w:rPr>
              <w:t>2.3585</w:t>
            </w:r>
            <w:r>
              <w:rPr>
                <w:rFonts w:hint="eastAsia" w:ascii="宋体" w:hAnsi="宋体"/>
                <w:color w:val="2C2D2C"/>
                <w:sz w:val="24"/>
                <w:szCs w:val="24"/>
              </w:rPr>
              <w:t>公顷、果园</w:t>
            </w:r>
            <w:r>
              <w:rPr>
                <w:rFonts w:hint="eastAsia" w:ascii="宋体" w:hAnsi="宋体"/>
                <w:bCs/>
                <w:color w:val="2C2D2C"/>
                <w:sz w:val="24"/>
                <w:szCs w:val="24"/>
              </w:rPr>
              <w:t>0.1240</w:t>
            </w:r>
            <w:r>
              <w:rPr>
                <w:rFonts w:hint="eastAsia" w:ascii="宋体" w:hAnsi="宋体"/>
                <w:color w:val="2C2D2C"/>
                <w:sz w:val="24"/>
                <w:szCs w:val="24"/>
              </w:rPr>
              <w:t>公顷、乔木林地</w:t>
            </w:r>
            <w:r>
              <w:rPr>
                <w:rFonts w:hint="eastAsia" w:ascii="宋体" w:hAnsi="宋体"/>
                <w:bCs/>
                <w:color w:val="2C2D2C"/>
                <w:sz w:val="24"/>
                <w:szCs w:val="24"/>
              </w:rPr>
              <w:t>9.3732</w:t>
            </w:r>
            <w:r>
              <w:rPr>
                <w:rFonts w:hint="eastAsia" w:ascii="宋体" w:hAnsi="宋体"/>
                <w:color w:val="2C2D2C"/>
                <w:sz w:val="24"/>
                <w:szCs w:val="24"/>
              </w:rPr>
              <w:t>公顷、灌木林地</w:t>
            </w:r>
            <w:r>
              <w:rPr>
                <w:rFonts w:hint="eastAsia" w:ascii="宋体" w:hAnsi="宋体"/>
                <w:bCs/>
                <w:sz w:val="24"/>
                <w:szCs w:val="24"/>
              </w:rPr>
              <w:t>0.1039</w:t>
            </w:r>
            <w:r>
              <w:rPr>
                <w:rFonts w:hint="eastAsia" w:ascii="宋体" w:hAnsi="宋体"/>
                <w:color w:val="2C2D2C"/>
                <w:sz w:val="24"/>
                <w:szCs w:val="24"/>
              </w:rPr>
              <w:t>公顷、其他草地</w:t>
            </w:r>
            <w:r>
              <w:rPr>
                <w:rFonts w:hint="eastAsia" w:ascii="宋体" w:hAnsi="宋体"/>
                <w:bCs/>
                <w:color w:val="2C2D2C"/>
                <w:sz w:val="24"/>
                <w:szCs w:val="24"/>
              </w:rPr>
              <w:t>0.3281公顷、</w:t>
            </w:r>
            <w:r>
              <w:rPr>
                <w:rFonts w:hint="eastAsia" w:ascii="宋体" w:hAnsi="宋体"/>
                <w:color w:val="2C2D2C"/>
                <w:sz w:val="24"/>
                <w:szCs w:val="24"/>
              </w:rPr>
              <w:t>采矿用地</w:t>
            </w:r>
            <w:r>
              <w:rPr>
                <w:rFonts w:hint="eastAsia" w:ascii="宋体" w:hAnsi="宋体"/>
                <w:bCs/>
                <w:color w:val="2C2D2C"/>
                <w:sz w:val="24"/>
                <w:szCs w:val="24"/>
              </w:rPr>
              <w:t>1.1123</w:t>
            </w:r>
            <w:r>
              <w:rPr>
                <w:rFonts w:hint="eastAsia" w:ascii="宋体" w:hAnsi="宋体"/>
                <w:color w:val="2C2D2C"/>
                <w:sz w:val="24"/>
                <w:szCs w:val="24"/>
              </w:rPr>
              <w:t>公顷、农村道路</w:t>
            </w:r>
            <w:r>
              <w:rPr>
                <w:rFonts w:hint="eastAsia" w:ascii="宋体" w:hAnsi="宋体"/>
                <w:bCs/>
                <w:color w:val="2C2D2C"/>
                <w:sz w:val="24"/>
                <w:szCs w:val="24"/>
              </w:rPr>
              <w:t>0.3967公顷、河流水面0.1338公顷</w:t>
            </w:r>
            <w:r>
              <w:rPr>
                <w:rFonts w:hint="eastAsia" w:ascii="宋体" w:hAnsi="宋体"/>
                <w:color w:val="2C2D2C"/>
                <w:sz w:val="24"/>
                <w:szCs w:val="24"/>
              </w:rPr>
              <w:t>。</w:t>
            </w:r>
          </w:p>
          <w:p>
            <w:pPr>
              <w:spacing w:line="540" w:lineRule="exact"/>
              <w:ind w:firstLine="480" w:firstLineChars="200"/>
              <w:jc w:val="left"/>
              <w:rPr>
                <w:rFonts w:ascii="宋体" w:hAnsi="宋体"/>
                <w:color w:val="2C2D2C"/>
                <w:sz w:val="24"/>
                <w:szCs w:val="24"/>
              </w:rPr>
            </w:pPr>
            <w:r>
              <w:rPr>
                <w:rFonts w:hint="eastAsia" w:ascii="宋体" w:hAnsi="宋体"/>
                <w:color w:val="2C2D2C"/>
                <w:sz w:val="24"/>
                <w:szCs w:val="24"/>
              </w:rPr>
              <w:t>（三）原则同意本项目制定的复垦目标和任务，土地复垦适宜性评价过程和结果基本可信。矿山土地复垦方案服务年限为2023年4月至2028年3月。规划复垦总面积13.7731公顷，复垦后旱地2.3757公顷、乔木</w:t>
            </w:r>
            <w:r>
              <w:rPr>
                <w:rFonts w:ascii="宋体" w:hAnsi="宋体"/>
                <w:color w:val="2C2D2C"/>
                <w:sz w:val="24"/>
                <w:szCs w:val="24"/>
              </w:rPr>
              <w:t>林地</w:t>
            </w:r>
            <w:r>
              <w:rPr>
                <w:rFonts w:hint="eastAsia" w:ascii="宋体" w:hAnsi="宋体"/>
                <w:bCs/>
                <w:color w:val="2C2D2C"/>
                <w:sz w:val="24"/>
                <w:szCs w:val="24"/>
                <w:lang w:bidi="en-US"/>
              </w:rPr>
              <w:t>8.6879</w:t>
            </w:r>
            <w:r>
              <w:rPr>
                <w:rFonts w:hint="eastAsia" w:ascii="宋体" w:hAnsi="宋体"/>
                <w:color w:val="2C2D2C"/>
                <w:sz w:val="24"/>
                <w:szCs w:val="24"/>
              </w:rPr>
              <w:t>公顷、其他草地</w:t>
            </w:r>
            <w:r>
              <w:rPr>
                <w:rFonts w:hint="eastAsia" w:ascii="宋体" w:hAnsi="宋体"/>
                <w:bCs/>
                <w:color w:val="2C2D2C"/>
                <w:sz w:val="24"/>
                <w:szCs w:val="24"/>
                <w:lang w:bidi="en-US"/>
              </w:rPr>
              <w:t>2.4234</w:t>
            </w:r>
            <w:r>
              <w:rPr>
                <w:rFonts w:hint="eastAsia" w:ascii="宋体" w:hAnsi="宋体"/>
                <w:color w:val="2C2D2C"/>
                <w:sz w:val="24"/>
                <w:szCs w:val="24"/>
              </w:rPr>
              <w:t>公顷、农村道路0.1523公顷、河流水面0.1338公顷；复垦率为98.87%。</w:t>
            </w:r>
          </w:p>
          <w:p>
            <w:pPr>
              <w:spacing w:line="540" w:lineRule="exact"/>
              <w:ind w:firstLine="480" w:firstLineChars="200"/>
              <w:jc w:val="left"/>
              <w:rPr>
                <w:rFonts w:ascii="宋体" w:hAnsi="宋体"/>
                <w:color w:val="FF0000"/>
                <w:sz w:val="24"/>
                <w:szCs w:val="24"/>
              </w:rPr>
            </w:pPr>
            <w:r>
              <w:rPr>
                <w:rFonts w:hint="eastAsia" w:ascii="宋体" w:hAnsi="宋体"/>
                <w:color w:val="2C2D2C"/>
                <w:sz w:val="24"/>
                <w:szCs w:val="24"/>
              </w:rPr>
              <w:t>（四）原则同意本报告书提出的预防控制措施和复垦措施</w:t>
            </w:r>
            <w:r>
              <w:rPr>
                <w:rFonts w:ascii="宋体" w:hAnsi="宋体"/>
                <w:color w:val="2C2D2C"/>
                <w:sz w:val="24"/>
                <w:szCs w:val="24"/>
              </w:rPr>
              <w:t>，但需进一步加强和完善相关措施，</w:t>
            </w:r>
            <w:r>
              <w:rPr>
                <w:rFonts w:hint="eastAsia" w:ascii="宋体" w:hAnsi="宋体"/>
                <w:bCs/>
                <w:color w:val="2C2D2C"/>
                <w:sz w:val="24"/>
                <w:szCs w:val="24"/>
              </w:rPr>
              <w:t>工程措施和监测工程应进一步加强，适当考虑增加拦挡工程和截排水工程</w:t>
            </w:r>
            <w:r>
              <w:rPr>
                <w:rFonts w:ascii="宋体" w:hAnsi="宋体"/>
                <w:bCs/>
                <w:color w:val="2C2D2C"/>
                <w:sz w:val="24"/>
                <w:szCs w:val="24"/>
              </w:rPr>
              <w:t>。</w:t>
            </w:r>
          </w:p>
          <w:p>
            <w:pPr>
              <w:spacing w:line="540" w:lineRule="exact"/>
              <w:ind w:firstLine="480" w:firstLineChars="200"/>
              <w:jc w:val="left"/>
              <w:rPr>
                <w:rFonts w:ascii="宋体" w:hAnsi="宋体"/>
                <w:color w:val="2C2D2C"/>
                <w:sz w:val="24"/>
                <w:szCs w:val="24"/>
              </w:rPr>
            </w:pPr>
            <w:r>
              <w:rPr>
                <w:rFonts w:hint="eastAsia" w:ascii="宋体" w:hAnsi="宋体"/>
                <w:color w:val="2C2D2C"/>
                <w:sz w:val="24"/>
                <w:szCs w:val="24"/>
              </w:rPr>
              <w:t>预防控制措施：（1）</w:t>
            </w:r>
            <w:r>
              <w:rPr>
                <w:rFonts w:hint="eastAsia" w:ascii="新宋体" w:hAnsi="新宋体" w:eastAsia="新宋体" w:cs="新宋体"/>
                <w:color w:val="000000"/>
                <w:sz w:val="24"/>
                <w:szCs w:val="24"/>
              </w:rPr>
              <w:t>各种生产建设活动应严格控制在矿权范围内，做好土壤和植被的保护措施，施工过程中的固体废弃物要及时处理；（2）合理地布置工作面及开采顺序，最大程度降低因矿山开采对地表土地的损毁；（3）临时排土场等场地应建拦挡措施、排水等措施，防止坡体失稳、水土流失；（4）在拟损毁场地应严格按照《土地复垦条例》等规定进行表土剥离和集中堆放保存；（5）对土地损毁区域布设监测措施；（6）应增加绿地面积及营造周边防护林，改善和保护项目区域内的生态环境</w:t>
            </w:r>
            <w:r>
              <w:rPr>
                <w:rFonts w:hint="eastAsia" w:ascii="宋体" w:hAnsi="宋体"/>
                <w:color w:val="2C2D2C"/>
                <w:sz w:val="24"/>
                <w:szCs w:val="24"/>
              </w:rPr>
              <w:t>。</w:t>
            </w:r>
          </w:p>
          <w:p>
            <w:pPr>
              <w:spacing w:line="540" w:lineRule="exact"/>
              <w:ind w:firstLine="480" w:firstLineChars="200"/>
              <w:jc w:val="left"/>
              <w:rPr>
                <w:rFonts w:ascii="宋体" w:hAnsi="宋体"/>
                <w:color w:val="2C2D2C"/>
                <w:sz w:val="24"/>
                <w:szCs w:val="24"/>
              </w:rPr>
            </w:pPr>
            <w:r>
              <w:rPr>
                <w:rFonts w:hint="eastAsia" w:ascii="宋体" w:hAnsi="宋体"/>
                <w:color w:val="2C2D2C"/>
                <w:sz w:val="24"/>
                <w:szCs w:val="24"/>
              </w:rPr>
              <w:t>工程技术措施：（1）各场地停止使用后，整理场地，配套相应灌排水设施及道路，覆土回填，根据实际情况进行耕地及植被恢复；（2）</w:t>
            </w:r>
            <w:r>
              <w:rPr>
                <w:rFonts w:hint="eastAsia" w:ascii="新宋体" w:hAnsi="新宋体" w:eastAsia="新宋体" w:cs="新宋体"/>
                <w:color w:val="000000"/>
                <w:sz w:val="24"/>
                <w:szCs w:val="24"/>
              </w:rPr>
              <w:t>露天采场影响区主要采取复垦措施提升土地质量及植被恢复等措施</w:t>
            </w:r>
            <w:r>
              <w:rPr>
                <w:rFonts w:hint="eastAsia" w:ascii="宋体" w:hAnsi="宋体"/>
                <w:color w:val="2C2D2C"/>
                <w:sz w:val="24"/>
                <w:szCs w:val="24"/>
              </w:rPr>
              <w:t>；（3）对整个复垦过程的复垦措施、复垦效果等动态监测。</w:t>
            </w:r>
          </w:p>
          <w:p>
            <w:pPr>
              <w:spacing w:line="540" w:lineRule="exact"/>
              <w:ind w:firstLine="480" w:firstLineChars="200"/>
              <w:jc w:val="left"/>
              <w:rPr>
                <w:rFonts w:ascii="宋体" w:hAnsi="宋体"/>
                <w:color w:val="2C2D2C"/>
                <w:sz w:val="24"/>
                <w:szCs w:val="24"/>
              </w:rPr>
            </w:pPr>
            <w:r>
              <w:rPr>
                <w:rFonts w:hint="eastAsia" w:ascii="宋体" w:hAnsi="宋体"/>
                <w:color w:val="2C2D2C"/>
                <w:sz w:val="24"/>
                <w:szCs w:val="24"/>
              </w:rPr>
              <w:t>生物化学措施：</w:t>
            </w:r>
            <w:r>
              <w:rPr>
                <w:rFonts w:hint="eastAsia"/>
                <w:color w:val="2C2D2C"/>
                <w:sz w:val="24"/>
                <w:szCs w:val="24"/>
              </w:rPr>
              <w:t>（1）对于绿化新增的林地、草地，优选当地优势树种，进行科学种植和精心管理；（2）对林地进行适时管理，包括浇水、施肥、除草、除虫等，同时淘汰劣质树种；（3）需合理改良土壤，提高土体有机质含量。</w:t>
            </w:r>
          </w:p>
          <w:p>
            <w:pPr>
              <w:spacing w:line="540" w:lineRule="exact"/>
              <w:ind w:firstLine="480" w:firstLineChars="200"/>
              <w:jc w:val="left"/>
              <w:rPr>
                <w:rFonts w:ascii="宋体" w:hAnsi="宋体"/>
                <w:color w:val="2C2D2C"/>
                <w:sz w:val="24"/>
                <w:szCs w:val="24"/>
              </w:rPr>
            </w:pPr>
            <w:r>
              <w:rPr>
                <w:rFonts w:hint="eastAsia" w:ascii="宋体" w:hAnsi="宋体"/>
                <w:color w:val="2C2D2C"/>
                <w:sz w:val="24"/>
                <w:szCs w:val="24"/>
              </w:rPr>
              <w:t>（五）原则同意报告书提出的土地复垦标准、工程设计及工程量测算。在具体实施过程中，要进一步加强并细化复垦工程设计，明确施工过程中的具体参数，增加方案的可操作性。</w:t>
            </w:r>
          </w:p>
          <w:p>
            <w:pPr>
              <w:spacing w:line="540" w:lineRule="exact"/>
              <w:ind w:firstLine="480" w:firstLineChars="200"/>
              <w:jc w:val="left"/>
              <w:rPr>
                <w:rFonts w:hint="eastAsia" w:ascii="宋体" w:hAnsi="宋体"/>
                <w:color w:val="2C2D2C"/>
                <w:sz w:val="24"/>
                <w:szCs w:val="24"/>
              </w:rPr>
            </w:pPr>
            <w:r>
              <w:rPr>
                <w:rFonts w:hint="eastAsia" w:ascii="宋体" w:hAnsi="宋体"/>
                <w:color w:val="2C2D2C"/>
                <w:sz w:val="24"/>
                <w:szCs w:val="24"/>
              </w:rPr>
              <w:t>（六）原则同意土地复垦投资估算结果。确定复垦工程静态总投资</w:t>
            </w:r>
            <w:r>
              <w:rPr>
                <w:rFonts w:hint="eastAsia" w:ascii="宋体" w:hAnsi="宋体"/>
                <w:bCs/>
                <w:color w:val="2C2D2C"/>
                <w:sz w:val="24"/>
                <w:szCs w:val="24"/>
              </w:rPr>
              <w:t>195.78</w:t>
            </w:r>
            <w:r>
              <w:rPr>
                <w:rFonts w:hint="eastAsia" w:ascii="宋体" w:hAnsi="宋体"/>
                <w:color w:val="2C2D2C"/>
                <w:sz w:val="24"/>
                <w:szCs w:val="24"/>
              </w:rPr>
              <w:t>万元；动态总投资为</w:t>
            </w:r>
            <w:r>
              <w:rPr>
                <w:rFonts w:hint="eastAsia" w:ascii="宋体" w:hAnsi="宋体"/>
                <w:bCs/>
                <w:color w:val="2C2D2C"/>
                <w:sz w:val="24"/>
                <w:szCs w:val="24"/>
              </w:rPr>
              <w:t>242.85</w:t>
            </w:r>
            <w:r>
              <w:rPr>
                <w:rFonts w:hint="eastAsia" w:ascii="宋体" w:hAnsi="宋体"/>
                <w:color w:val="2C2D2C"/>
                <w:sz w:val="24"/>
                <w:szCs w:val="24"/>
              </w:rPr>
              <w:t>万元，项目复垦资金预存分为17期，首期预存资金</w:t>
            </w:r>
            <w:r>
              <w:rPr>
                <w:rFonts w:hint="eastAsia" w:ascii="宋体" w:hAnsi="宋体"/>
                <w:bCs/>
                <w:color w:val="2C2D2C"/>
                <w:sz w:val="24"/>
                <w:szCs w:val="24"/>
                <w:lang w:bidi="en-US"/>
              </w:rPr>
              <w:t>39.156</w:t>
            </w:r>
            <w:r>
              <w:rPr>
                <w:rFonts w:hint="eastAsia" w:ascii="宋体" w:hAnsi="宋体"/>
                <w:color w:val="2C2D2C"/>
                <w:sz w:val="24"/>
                <w:szCs w:val="24"/>
                <w:lang w:bidi="en-US"/>
              </w:rPr>
              <w:t>万</w:t>
            </w:r>
            <w:r>
              <w:rPr>
                <w:rFonts w:hint="eastAsia" w:ascii="宋体" w:hAnsi="宋体"/>
                <w:color w:val="2C2D2C"/>
                <w:sz w:val="24"/>
                <w:szCs w:val="24"/>
              </w:rPr>
              <w:t>元。业主单位要进一步明确土地复垦费用从建设或生产成本中提取，加大土地复垦前期提取额度，并根据复垦工作安排制定土地复垦计划，采取有效措施保障复垦费专款专用。费用不足的，要及时足额追加投资，确保土地复垦工作的顺利进行。</w:t>
            </w:r>
          </w:p>
          <w:p>
            <w:pPr>
              <w:spacing w:line="540" w:lineRule="exact"/>
              <w:ind w:firstLine="480" w:firstLineChars="200"/>
              <w:rPr>
                <w:rFonts w:ascii="宋体" w:hAnsi="宋体"/>
                <w:bCs/>
                <w:color w:val="2C2D2C"/>
                <w:sz w:val="24"/>
                <w:szCs w:val="24"/>
              </w:rPr>
            </w:pPr>
            <w:r>
              <w:rPr>
                <w:rFonts w:hint="eastAsia" w:ascii="宋体" w:hAnsi="宋体"/>
                <w:color w:val="2C2D2C"/>
                <w:sz w:val="24"/>
                <w:szCs w:val="24"/>
              </w:rPr>
              <w:t>（七）根据镇康县自然资源局相关采矿权涉及基本农田的审核情况，</w:t>
            </w:r>
            <w:r>
              <w:rPr>
                <w:rFonts w:hint="eastAsia" w:ascii="宋体" w:hAnsi="宋体"/>
                <w:bCs/>
                <w:color w:val="2C2D2C"/>
                <w:sz w:val="24"/>
                <w:szCs w:val="24"/>
              </w:rPr>
              <w:t>项目区</w:t>
            </w:r>
            <w:r>
              <w:rPr>
                <w:rFonts w:ascii="宋体" w:hAnsi="宋体"/>
                <w:bCs/>
                <w:color w:val="2C2D2C"/>
                <w:sz w:val="24"/>
                <w:szCs w:val="24"/>
                <w:lang w:bidi="en-US"/>
              </w:rPr>
              <w:t>未</w:t>
            </w:r>
            <w:r>
              <w:rPr>
                <w:rFonts w:hint="eastAsia" w:ascii="宋体" w:hAnsi="宋体"/>
                <w:bCs/>
                <w:color w:val="2C2D2C"/>
                <w:sz w:val="24"/>
                <w:szCs w:val="24"/>
                <w:lang w:bidi="en-US"/>
              </w:rPr>
              <w:t>占用</w:t>
            </w:r>
            <w:r>
              <w:rPr>
                <w:rFonts w:ascii="宋体" w:hAnsi="宋体"/>
                <w:bCs/>
                <w:color w:val="2C2D2C"/>
                <w:sz w:val="24"/>
                <w:szCs w:val="24"/>
                <w:lang w:bidi="en-US"/>
              </w:rPr>
              <w:t>基本农田</w:t>
            </w:r>
            <w:r>
              <w:rPr>
                <w:rFonts w:hint="eastAsia" w:ascii="宋体" w:hAnsi="宋体"/>
                <w:bCs/>
                <w:color w:val="2C2D2C"/>
                <w:sz w:val="24"/>
                <w:szCs w:val="24"/>
                <w:lang w:bidi="en-US"/>
              </w:rPr>
              <w:t>，后期矿山开采禁止占用基本农田</w:t>
            </w:r>
            <w:r>
              <w:rPr>
                <w:rFonts w:hint="eastAsia" w:ascii="宋体" w:hAnsi="宋体"/>
                <w:color w:val="2C2D2C"/>
                <w:sz w:val="24"/>
                <w:szCs w:val="24"/>
              </w:rPr>
              <w:t>。</w:t>
            </w:r>
          </w:p>
          <w:p>
            <w:pPr>
              <w:spacing w:line="540" w:lineRule="exact"/>
              <w:ind w:firstLine="482" w:firstLineChars="200"/>
              <w:jc w:val="left"/>
              <w:rPr>
                <w:rFonts w:ascii="宋体" w:hAnsi="宋体"/>
                <w:b/>
                <w:sz w:val="24"/>
                <w:szCs w:val="24"/>
              </w:rPr>
            </w:pPr>
            <w:r>
              <w:rPr>
                <w:rFonts w:hint="eastAsia" w:ascii="宋体" w:hAnsi="宋体"/>
                <w:b/>
                <w:sz w:val="24"/>
                <w:szCs w:val="24"/>
              </w:rPr>
              <w:t>四、专家组强调事项</w:t>
            </w:r>
          </w:p>
          <w:p>
            <w:pPr>
              <w:spacing w:line="540" w:lineRule="exact"/>
              <w:ind w:firstLine="480" w:firstLineChars="200"/>
              <w:jc w:val="left"/>
              <w:rPr>
                <w:rFonts w:ascii="宋体" w:hAnsi="宋体"/>
                <w:sz w:val="24"/>
                <w:szCs w:val="24"/>
              </w:rPr>
            </w:pPr>
            <w:r>
              <w:rPr>
                <w:rFonts w:hint="eastAsia" w:ascii="宋体" w:hAnsi="宋体"/>
                <w:sz w:val="24"/>
                <w:szCs w:val="24"/>
              </w:rPr>
              <w:t>（一）</w:t>
            </w:r>
            <w:r>
              <w:rPr>
                <w:rFonts w:hint="eastAsia" w:ascii="宋体" w:hAnsi="宋体"/>
                <w:bCs/>
                <w:sz w:val="24"/>
              </w:rPr>
              <w:t>工程措施和监测工程应进一步加强，适当考虑增加拦挡工程和截排水工程</w:t>
            </w:r>
            <w:r>
              <w:rPr>
                <w:rFonts w:ascii="宋体" w:hAnsi="宋体"/>
                <w:bCs/>
                <w:sz w:val="24"/>
              </w:rPr>
              <w:t>。</w:t>
            </w:r>
          </w:p>
          <w:p>
            <w:pPr>
              <w:spacing w:line="540" w:lineRule="exact"/>
              <w:ind w:firstLine="480" w:firstLineChars="200"/>
              <w:rPr>
                <w:rFonts w:ascii="宋体" w:hAnsi="宋体"/>
                <w:sz w:val="24"/>
                <w:szCs w:val="24"/>
              </w:rPr>
            </w:pPr>
            <w:r>
              <w:rPr>
                <w:rFonts w:hint="eastAsia" w:ascii="宋体" w:hAnsi="宋体"/>
                <w:sz w:val="24"/>
                <w:szCs w:val="24"/>
              </w:rPr>
              <w:t>（二）复核相关防治工程的有效可行性并复核矿山地质环境保护费用。</w:t>
            </w:r>
          </w:p>
          <w:p>
            <w:pPr>
              <w:spacing w:line="540" w:lineRule="exact"/>
              <w:ind w:firstLine="480" w:firstLineChars="200"/>
              <w:rPr>
                <w:rFonts w:ascii="宋体" w:hAnsi="宋体"/>
                <w:sz w:val="24"/>
                <w:szCs w:val="24"/>
              </w:rPr>
            </w:pPr>
            <w:r>
              <w:rPr>
                <w:rFonts w:hint="eastAsia" w:ascii="宋体" w:hAnsi="宋体"/>
                <w:sz w:val="24"/>
                <w:szCs w:val="24"/>
              </w:rPr>
              <w:t>（三）加强临时排土场等的监测工作，发现问题及时处置；设置拦挡、截水工程，避免产生滑坡、泥石流。</w:t>
            </w:r>
          </w:p>
          <w:p>
            <w:pPr>
              <w:spacing w:line="540" w:lineRule="exact"/>
              <w:ind w:firstLine="480" w:firstLineChars="200"/>
              <w:rPr>
                <w:rFonts w:hint="eastAsia" w:ascii="宋体" w:hAnsi="宋体"/>
                <w:sz w:val="24"/>
                <w:szCs w:val="24"/>
              </w:rPr>
            </w:pPr>
            <w:r>
              <w:rPr>
                <w:rFonts w:ascii="宋体" w:hAnsi="宋体"/>
                <w:sz w:val="24"/>
                <w:szCs w:val="24"/>
              </w:rPr>
              <w:t>（四）</w:t>
            </w:r>
            <w:r>
              <w:rPr>
                <w:rFonts w:hint="eastAsia" w:ascii="宋体" w:hAnsi="宋体"/>
                <w:spacing w:val="-2"/>
                <w:sz w:val="24"/>
                <w:szCs w:val="24"/>
                <w:lang w:bidi="en-US"/>
              </w:rPr>
              <w:t>矿山开采过程中严禁随意弃渣</w:t>
            </w:r>
            <w:r>
              <w:rPr>
                <w:rFonts w:ascii="宋体" w:hAnsi="宋体"/>
                <w:spacing w:val="-2"/>
                <w:sz w:val="24"/>
                <w:szCs w:val="24"/>
              </w:rPr>
              <w:t>。</w:t>
            </w:r>
          </w:p>
          <w:p>
            <w:pPr>
              <w:spacing w:line="540" w:lineRule="exact"/>
              <w:ind w:firstLine="480" w:firstLineChars="200"/>
              <w:jc w:val="left"/>
              <w:rPr>
                <w:rFonts w:hint="eastAsia" w:ascii="宋体" w:hAnsi="宋体"/>
                <w:color w:val="2C2D2C"/>
                <w:sz w:val="24"/>
                <w:szCs w:val="24"/>
              </w:rPr>
            </w:pPr>
            <w:r>
              <w:rPr>
                <w:rFonts w:hint="eastAsia" w:ascii="宋体" w:hAnsi="宋体"/>
                <w:color w:val="2C2D2C"/>
                <w:sz w:val="24"/>
                <w:szCs w:val="24"/>
              </w:rPr>
              <w:t>（五）请项目业主单位抓紧与项目所在地自然资源管理部门签订土地复垦资金监管协议，落实双方责任关系，明确土地复垦资金提取计划、开展土地复垦工作计划，并按要求定期向上级自然资源主管部门报告土地复垦资金提取使用和土地复垦实施情况，接受各级自然资源管理部门的监督和检查。</w:t>
            </w:r>
          </w:p>
          <w:p>
            <w:pPr>
              <w:spacing w:line="540" w:lineRule="exact"/>
              <w:ind w:firstLine="480" w:firstLineChars="200"/>
              <w:jc w:val="left"/>
              <w:rPr>
                <w:rFonts w:ascii="宋体" w:hAnsi="宋体"/>
                <w:color w:val="2C2D2C"/>
                <w:sz w:val="24"/>
                <w:szCs w:val="24"/>
              </w:rPr>
            </w:pPr>
            <w:r>
              <w:rPr>
                <w:rFonts w:hint="eastAsia" w:ascii="宋体" w:hAnsi="宋体"/>
                <w:color w:val="2C2D2C"/>
                <w:sz w:val="24"/>
                <w:szCs w:val="24"/>
              </w:rPr>
              <w:t>（六）如项目性质、生产规模、矿山废石场、地点、矿区范围或生产工艺、开采方式、开采矿种等发生重大变化以及申请延续、转让采矿权时“方案”时效性已过期的，需按相关规定和要求重新组织编报或修编矿山地质环境保护与土地复垦方案的，应及时报原审查单位审查并备案。</w:t>
            </w:r>
          </w:p>
          <w:p>
            <w:pPr>
              <w:spacing w:line="500" w:lineRule="exact"/>
              <w:ind w:firstLine="480" w:firstLineChars="200"/>
              <w:jc w:val="left"/>
              <w:rPr>
                <w:rFonts w:ascii="Times New Roman" w:hAnsi="Times New Roman" w:cs="Times New Roman"/>
                <w:color w:val="2C2D2C"/>
                <w:kern w:val="0"/>
                <w:sz w:val="24"/>
                <w:szCs w:val="24"/>
              </w:rPr>
            </w:pPr>
            <w:r>
              <w:rPr>
                <w:rFonts w:hint="eastAsia" w:ascii="宋体" w:hAnsi="宋体"/>
                <w:color w:val="2C2D2C"/>
                <w:sz w:val="24"/>
                <w:szCs w:val="24"/>
              </w:rPr>
              <w:t>综上所述，《</w:t>
            </w:r>
            <w:r>
              <w:rPr>
                <w:rFonts w:hint="eastAsia" w:ascii="宋体" w:hAnsi="宋体"/>
                <w:bCs/>
                <w:color w:val="2C2D2C"/>
                <w:sz w:val="24"/>
                <w:szCs w:val="24"/>
              </w:rPr>
              <w:t>龙源矿业（镇康县）有限公司镇康县小尖山石膏矿</w:t>
            </w:r>
            <w:r>
              <w:rPr>
                <w:rFonts w:hint="eastAsia" w:ascii="宋体" w:hAnsi="宋体"/>
                <w:color w:val="2C2D2C"/>
                <w:sz w:val="24"/>
                <w:szCs w:val="24"/>
              </w:rPr>
              <w:t>矿山地质环境保护与土地复垦方案》的编制基本符合有关文件及技术规范、标准的要求，相关分析依据充分，结论基本准确，采取的预防措施、工程技术措施基本可行，投资估算结果基本准确，拟定的工作计划实施基本合理。专家组原则同意通过评审，请编制单位按专家组意见修改补充完善后，按规定程序上报备案。</w:t>
            </w:r>
          </w:p>
        </w:tc>
      </w:tr>
    </w:tbl>
    <w:p>
      <w:pPr>
        <w:sectPr>
          <w:footerReference r:id="rId3" w:type="default"/>
          <w:pgSz w:w="11906" w:h="16838"/>
          <w:pgMar w:top="1440" w:right="1800" w:bottom="1440" w:left="1800" w:header="851" w:footer="992" w:gutter="0"/>
          <w:cols w:space="425" w:num="1"/>
          <w:docGrid w:type="lines" w:linePitch="312" w:charSpace="0"/>
        </w:sectPr>
      </w:pPr>
      <w:r>
        <w:br w:type="page"/>
      </w:r>
    </w:p>
    <w:p/>
    <w:p>
      <w:pPr>
        <w:spacing w:line="240" w:lineRule="atLeast"/>
        <w:jc w:val="center"/>
        <w:rPr>
          <w:rFonts w:asciiTheme="minorEastAsia" w:hAnsiTheme="minorEastAsia"/>
          <w:b/>
          <w:bCs/>
          <w:sz w:val="36"/>
          <w:szCs w:val="36"/>
          <w:lang w:bidi="en-US"/>
        </w:rPr>
      </w:pPr>
      <w:r>
        <w:rPr>
          <w:rFonts w:hint="eastAsia" w:asciiTheme="minorEastAsia" w:hAnsiTheme="minorEastAsia"/>
          <w:b/>
          <w:bCs/>
          <w:sz w:val="36"/>
          <w:szCs w:val="36"/>
          <w:lang w:bidi="en-US"/>
        </w:rPr>
        <w:t>龙源矿业（镇康县）有限公司镇康县小尖山石膏矿矿山地质环境保护与土地复垦方案</w:t>
      </w:r>
    </w:p>
    <w:p>
      <w:pPr>
        <w:spacing w:line="240" w:lineRule="atLeast"/>
        <w:jc w:val="center"/>
        <w:rPr>
          <w:rFonts w:asciiTheme="minorEastAsia" w:hAnsiTheme="minorEastAsia"/>
          <w:b/>
          <w:bCs/>
          <w:sz w:val="36"/>
          <w:szCs w:val="36"/>
          <w:lang w:bidi="en-US"/>
        </w:rPr>
      </w:pPr>
      <w:r>
        <w:rPr>
          <w:rFonts w:hint="eastAsia" w:asciiTheme="minorEastAsia" w:hAnsiTheme="minorEastAsia"/>
          <w:b/>
          <w:sz w:val="36"/>
          <w:szCs w:val="36"/>
        </w:rPr>
        <w:t>评审专家组名单</w:t>
      </w:r>
    </w:p>
    <w:p>
      <w:pPr>
        <w:spacing w:line="240" w:lineRule="atLeast"/>
        <w:jc w:val="center"/>
        <w:rPr>
          <w:rFonts w:asciiTheme="minorEastAsia" w:hAnsiTheme="minorEastAsia"/>
          <w:b/>
          <w:sz w:val="36"/>
          <w:szCs w:val="36"/>
        </w:rPr>
      </w:pPr>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977"/>
        <w:gridCol w:w="5702"/>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240" w:lineRule="atLeast"/>
              <w:jc w:val="center"/>
              <w:rPr>
                <w:rFonts w:asciiTheme="minorEastAsia" w:hAnsiTheme="minorEastAsia"/>
                <w:b/>
                <w:sz w:val="32"/>
                <w:szCs w:val="32"/>
              </w:rPr>
            </w:pPr>
            <w:r>
              <w:rPr>
                <w:rFonts w:hint="eastAsia" w:asciiTheme="minorEastAsia" w:hAnsiTheme="minorEastAsia"/>
                <w:b/>
                <w:sz w:val="32"/>
                <w:szCs w:val="32"/>
              </w:rPr>
              <w:t>序号</w:t>
            </w:r>
          </w:p>
        </w:tc>
        <w:tc>
          <w:tcPr>
            <w:tcW w:w="2977" w:type="dxa"/>
          </w:tcPr>
          <w:p>
            <w:pPr>
              <w:spacing w:line="240" w:lineRule="atLeast"/>
              <w:jc w:val="center"/>
              <w:rPr>
                <w:rFonts w:asciiTheme="minorEastAsia" w:hAnsiTheme="minorEastAsia"/>
                <w:b/>
                <w:sz w:val="32"/>
                <w:szCs w:val="32"/>
              </w:rPr>
            </w:pPr>
            <w:r>
              <w:rPr>
                <w:rFonts w:hint="eastAsia" w:asciiTheme="minorEastAsia" w:hAnsiTheme="minorEastAsia"/>
                <w:b/>
                <w:sz w:val="32"/>
                <w:szCs w:val="32"/>
              </w:rPr>
              <w:t>姓名</w:t>
            </w:r>
          </w:p>
        </w:tc>
        <w:tc>
          <w:tcPr>
            <w:tcW w:w="5702" w:type="dxa"/>
          </w:tcPr>
          <w:p>
            <w:pPr>
              <w:spacing w:line="240" w:lineRule="atLeast"/>
              <w:jc w:val="center"/>
              <w:rPr>
                <w:rFonts w:asciiTheme="minorEastAsia" w:hAnsiTheme="minorEastAsia"/>
                <w:b/>
                <w:sz w:val="32"/>
                <w:szCs w:val="32"/>
              </w:rPr>
            </w:pPr>
            <w:r>
              <w:rPr>
                <w:rFonts w:hint="eastAsia" w:asciiTheme="minorEastAsia" w:hAnsiTheme="minorEastAsia"/>
                <w:b/>
                <w:sz w:val="32"/>
                <w:szCs w:val="32"/>
              </w:rPr>
              <w:t>工作单位</w:t>
            </w:r>
          </w:p>
        </w:tc>
        <w:tc>
          <w:tcPr>
            <w:tcW w:w="3544" w:type="dxa"/>
          </w:tcPr>
          <w:p>
            <w:pPr>
              <w:spacing w:line="240" w:lineRule="atLeast"/>
              <w:jc w:val="center"/>
              <w:rPr>
                <w:rFonts w:asciiTheme="minorEastAsia" w:hAnsiTheme="minorEastAsia"/>
                <w:b/>
                <w:sz w:val="32"/>
                <w:szCs w:val="32"/>
              </w:rPr>
            </w:pPr>
            <w:r>
              <w:rPr>
                <w:rFonts w:hint="eastAsia" w:asciiTheme="minorEastAsia" w:hAnsiTheme="minorEastAsia"/>
                <w:b/>
                <w:sz w:val="32"/>
                <w:szCs w:val="32"/>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240" w:lineRule="atLeast"/>
              <w:jc w:val="center"/>
              <w:rPr>
                <w:rFonts w:ascii="Times New Roman" w:hAnsi="Times New Roman" w:cs="Times New Roman"/>
                <w:sz w:val="32"/>
                <w:szCs w:val="32"/>
              </w:rPr>
            </w:pPr>
            <w:r>
              <w:rPr>
                <w:rFonts w:hint="eastAsia" w:ascii="Times New Roman" w:hAnsi="Times New Roman" w:cs="Times New Roman"/>
                <w:sz w:val="32"/>
                <w:szCs w:val="32"/>
              </w:rPr>
              <w:t>1</w:t>
            </w:r>
          </w:p>
        </w:tc>
        <w:tc>
          <w:tcPr>
            <w:tcW w:w="2977" w:type="dxa"/>
          </w:tcPr>
          <w:p>
            <w:pPr>
              <w:spacing w:line="240" w:lineRule="atLeast"/>
              <w:jc w:val="center"/>
              <w:rPr>
                <w:rFonts w:asciiTheme="minorEastAsia" w:hAnsiTheme="minorEastAsia"/>
                <w:sz w:val="32"/>
                <w:szCs w:val="32"/>
              </w:rPr>
            </w:pPr>
            <w:r>
              <w:rPr>
                <w:rFonts w:hint="eastAsia" w:asciiTheme="minorEastAsia" w:hAnsiTheme="minorEastAsia"/>
                <w:sz w:val="32"/>
                <w:szCs w:val="32"/>
              </w:rPr>
              <w:t>戴光旭</w:t>
            </w:r>
          </w:p>
        </w:tc>
        <w:tc>
          <w:tcPr>
            <w:tcW w:w="5702" w:type="dxa"/>
          </w:tcPr>
          <w:p>
            <w:pPr>
              <w:spacing w:line="240" w:lineRule="atLeast"/>
              <w:jc w:val="center"/>
              <w:rPr>
                <w:rFonts w:asciiTheme="minorEastAsia" w:hAnsiTheme="minorEastAsia"/>
                <w:sz w:val="32"/>
                <w:szCs w:val="32"/>
              </w:rPr>
            </w:pPr>
            <w:r>
              <w:rPr>
                <w:rFonts w:hint="eastAsia" w:asciiTheme="minorEastAsia" w:hAnsiTheme="minorEastAsia"/>
                <w:sz w:val="32"/>
                <w:szCs w:val="32"/>
              </w:rPr>
              <w:t>云南省地质灾害研究会</w:t>
            </w:r>
          </w:p>
        </w:tc>
        <w:tc>
          <w:tcPr>
            <w:tcW w:w="3544" w:type="dxa"/>
          </w:tcPr>
          <w:p>
            <w:pPr>
              <w:spacing w:line="240" w:lineRule="atLeast"/>
              <w:jc w:val="center"/>
              <w:rPr>
                <w:rFonts w:asciiTheme="minorEastAsia" w:hAnsiTheme="minorEastAsia"/>
                <w:sz w:val="32"/>
                <w:szCs w:val="32"/>
              </w:rPr>
            </w:pPr>
            <w:r>
              <w:rPr>
                <w:rFonts w:hint="eastAsia" w:asciiTheme="minorEastAsia" w:hAnsiTheme="minorEastAsia"/>
                <w:sz w:val="32"/>
                <w:szCs w:val="32"/>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240" w:lineRule="atLeast"/>
              <w:jc w:val="center"/>
              <w:rPr>
                <w:rFonts w:ascii="Times New Roman" w:hAnsi="Times New Roman" w:cs="Times New Roman"/>
                <w:sz w:val="32"/>
                <w:szCs w:val="32"/>
              </w:rPr>
            </w:pPr>
            <w:r>
              <w:rPr>
                <w:rFonts w:hint="eastAsia" w:ascii="Times New Roman" w:hAnsi="Times New Roman" w:cs="Times New Roman"/>
                <w:sz w:val="32"/>
                <w:szCs w:val="32"/>
              </w:rPr>
              <w:t>2</w:t>
            </w:r>
          </w:p>
        </w:tc>
        <w:tc>
          <w:tcPr>
            <w:tcW w:w="2977" w:type="dxa"/>
          </w:tcPr>
          <w:p>
            <w:pPr>
              <w:spacing w:line="240" w:lineRule="atLeast"/>
              <w:jc w:val="center"/>
              <w:rPr>
                <w:rFonts w:asciiTheme="minorEastAsia" w:hAnsiTheme="minorEastAsia"/>
                <w:sz w:val="32"/>
                <w:szCs w:val="32"/>
              </w:rPr>
            </w:pPr>
            <w:r>
              <w:rPr>
                <w:rFonts w:hint="eastAsia" w:asciiTheme="minorEastAsia" w:hAnsiTheme="minorEastAsia"/>
                <w:sz w:val="32"/>
                <w:szCs w:val="32"/>
              </w:rPr>
              <w:t>洪雪梅</w:t>
            </w:r>
          </w:p>
        </w:tc>
        <w:tc>
          <w:tcPr>
            <w:tcW w:w="5702" w:type="dxa"/>
          </w:tcPr>
          <w:p>
            <w:pPr>
              <w:spacing w:line="240" w:lineRule="atLeast"/>
              <w:jc w:val="center"/>
              <w:rPr>
                <w:rFonts w:asciiTheme="minorEastAsia" w:hAnsiTheme="minorEastAsia"/>
                <w:sz w:val="32"/>
                <w:szCs w:val="32"/>
              </w:rPr>
            </w:pPr>
            <w:r>
              <w:rPr>
                <w:rFonts w:hint="eastAsia" w:asciiTheme="minorEastAsia" w:hAnsiTheme="minorEastAsia"/>
                <w:sz w:val="32"/>
                <w:szCs w:val="32"/>
              </w:rPr>
              <w:t>云南地质工程勘察设计研究院有限公司</w:t>
            </w:r>
          </w:p>
        </w:tc>
        <w:tc>
          <w:tcPr>
            <w:tcW w:w="3544" w:type="dxa"/>
          </w:tcPr>
          <w:p>
            <w:pPr>
              <w:spacing w:line="240" w:lineRule="atLeast"/>
              <w:jc w:val="center"/>
              <w:rPr>
                <w:rFonts w:asciiTheme="minorEastAsia" w:hAnsiTheme="minorEastAsia"/>
                <w:sz w:val="32"/>
                <w:szCs w:val="32"/>
              </w:rPr>
            </w:pPr>
            <w:r>
              <w:rPr>
                <w:rFonts w:hint="eastAsia" w:asciiTheme="minorEastAsia" w:hAnsiTheme="minorEastAsia"/>
                <w:sz w:val="32"/>
                <w:szCs w:val="32"/>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240" w:lineRule="atLeast"/>
              <w:jc w:val="center"/>
              <w:rPr>
                <w:rFonts w:ascii="Times New Roman" w:hAnsi="Times New Roman" w:cs="Times New Roman"/>
                <w:sz w:val="32"/>
                <w:szCs w:val="32"/>
              </w:rPr>
            </w:pPr>
            <w:r>
              <w:rPr>
                <w:rFonts w:hint="eastAsia" w:ascii="Times New Roman" w:hAnsi="Times New Roman" w:cs="Times New Roman"/>
                <w:sz w:val="32"/>
                <w:szCs w:val="32"/>
              </w:rPr>
              <w:t>3</w:t>
            </w:r>
          </w:p>
        </w:tc>
        <w:tc>
          <w:tcPr>
            <w:tcW w:w="2977" w:type="dxa"/>
          </w:tcPr>
          <w:p>
            <w:pPr>
              <w:spacing w:line="240" w:lineRule="atLeast"/>
              <w:jc w:val="center"/>
              <w:rPr>
                <w:rFonts w:asciiTheme="minorEastAsia" w:hAnsiTheme="minorEastAsia"/>
                <w:sz w:val="32"/>
                <w:szCs w:val="32"/>
              </w:rPr>
            </w:pPr>
            <w:r>
              <w:rPr>
                <w:rFonts w:hint="eastAsia" w:asciiTheme="minorEastAsia" w:hAnsiTheme="minorEastAsia"/>
                <w:sz w:val="32"/>
                <w:szCs w:val="32"/>
              </w:rPr>
              <w:t>刘华荣</w:t>
            </w:r>
          </w:p>
        </w:tc>
        <w:tc>
          <w:tcPr>
            <w:tcW w:w="5702" w:type="dxa"/>
          </w:tcPr>
          <w:p>
            <w:pPr>
              <w:spacing w:line="240" w:lineRule="atLeast"/>
              <w:jc w:val="center"/>
              <w:rPr>
                <w:rFonts w:asciiTheme="minorEastAsia" w:hAnsiTheme="minorEastAsia"/>
                <w:color w:val="FF0000"/>
                <w:sz w:val="32"/>
                <w:szCs w:val="32"/>
              </w:rPr>
            </w:pPr>
            <w:r>
              <w:rPr>
                <w:rFonts w:hint="eastAsia" w:asciiTheme="minorEastAsia" w:hAnsiTheme="minorEastAsia"/>
                <w:sz w:val="32"/>
                <w:szCs w:val="32"/>
              </w:rPr>
              <w:t>云南地质工程勘察设计研究院有限公司</w:t>
            </w:r>
          </w:p>
        </w:tc>
        <w:tc>
          <w:tcPr>
            <w:tcW w:w="3544" w:type="dxa"/>
          </w:tcPr>
          <w:p>
            <w:pPr>
              <w:spacing w:line="240" w:lineRule="atLeast"/>
              <w:jc w:val="center"/>
              <w:rPr>
                <w:rFonts w:asciiTheme="minorEastAsia" w:hAnsiTheme="minorEastAsia"/>
                <w:color w:val="FF0000"/>
                <w:sz w:val="32"/>
                <w:szCs w:val="32"/>
              </w:rPr>
            </w:pPr>
            <w:r>
              <w:rPr>
                <w:rFonts w:hint="eastAsia" w:asciiTheme="minorEastAsia" w:hAnsiTheme="minorEastAsia"/>
                <w:sz w:val="32"/>
                <w:szCs w:val="32"/>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240" w:lineRule="atLeast"/>
              <w:jc w:val="center"/>
              <w:rPr>
                <w:rFonts w:ascii="Times New Roman" w:hAnsi="Times New Roman" w:cs="Times New Roman"/>
                <w:sz w:val="32"/>
                <w:szCs w:val="32"/>
              </w:rPr>
            </w:pPr>
            <w:r>
              <w:rPr>
                <w:rFonts w:hint="eastAsia" w:ascii="Times New Roman" w:hAnsi="Times New Roman" w:cs="Times New Roman"/>
                <w:sz w:val="32"/>
                <w:szCs w:val="32"/>
              </w:rPr>
              <w:t>4</w:t>
            </w:r>
          </w:p>
        </w:tc>
        <w:tc>
          <w:tcPr>
            <w:tcW w:w="2977" w:type="dxa"/>
          </w:tcPr>
          <w:p>
            <w:pPr>
              <w:spacing w:line="240" w:lineRule="atLeast"/>
              <w:jc w:val="center"/>
              <w:rPr>
                <w:rFonts w:asciiTheme="minorEastAsia" w:hAnsiTheme="minorEastAsia"/>
                <w:sz w:val="32"/>
                <w:szCs w:val="32"/>
              </w:rPr>
            </w:pPr>
            <w:r>
              <w:rPr>
                <w:rFonts w:hint="eastAsia" w:asciiTheme="minorEastAsia" w:hAnsiTheme="minorEastAsia"/>
                <w:sz w:val="32"/>
                <w:szCs w:val="32"/>
              </w:rPr>
              <w:t>吴霞</w:t>
            </w:r>
          </w:p>
        </w:tc>
        <w:tc>
          <w:tcPr>
            <w:tcW w:w="5702" w:type="dxa"/>
          </w:tcPr>
          <w:p>
            <w:pPr>
              <w:spacing w:line="240" w:lineRule="atLeast"/>
              <w:jc w:val="center"/>
              <w:rPr>
                <w:rFonts w:asciiTheme="minorEastAsia" w:hAnsiTheme="minorEastAsia"/>
                <w:sz w:val="32"/>
                <w:szCs w:val="32"/>
              </w:rPr>
            </w:pPr>
            <w:r>
              <w:rPr>
                <w:rFonts w:hint="eastAsia" w:asciiTheme="minorEastAsia" w:hAnsiTheme="minorEastAsia"/>
                <w:sz w:val="32"/>
                <w:szCs w:val="32"/>
              </w:rPr>
              <w:t>云南省林业调查规划院</w:t>
            </w:r>
          </w:p>
        </w:tc>
        <w:tc>
          <w:tcPr>
            <w:tcW w:w="3544" w:type="dxa"/>
          </w:tcPr>
          <w:p>
            <w:pPr>
              <w:spacing w:line="240" w:lineRule="atLeast"/>
              <w:jc w:val="center"/>
              <w:rPr>
                <w:rFonts w:asciiTheme="minorEastAsia" w:hAnsiTheme="minorEastAsia"/>
                <w:sz w:val="32"/>
                <w:szCs w:val="32"/>
              </w:rPr>
            </w:pPr>
            <w:r>
              <w:rPr>
                <w:rFonts w:hint="eastAsia" w:asciiTheme="minorEastAsia" w:hAnsiTheme="minorEastAsia"/>
                <w:sz w:val="32"/>
                <w:szCs w:val="32"/>
              </w:rPr>
              <w:t>正高级工程师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240" w:lineRule="atLeast"/>
              <w:jc w:val="center"/>
              <w:rPr>
                <w:rFonts w:ascii="Times New Roman" w:hAnsi="Times New Roman" w:cs="Times New Roman"/>
                <w:sz w:val="32"/>
                <w:szCs w:val="32"/>
              </w:rPr>
            </w:pPr>
            <w:r>
              <w:rPr>
                <w:rFonts w:hint="eastAsia" w:ascii="Times New Roman" w:hAnsi="Times New Roman" w:cs="Times New Roman"/>
                <w:sz w:val="32"/>
                <w:szCs w:val="32"/>
              </w:rPr>
              <w:t>5</w:t>
            </w:r>
          </w:p>
        </w:tc>
        <w:tc>
          <w:tcPr>
            <w:tcW w:w="2977" w:type="dxa"/>
          </w:tcPr>
          <w:p>
            <w:pPr>
              <w:spacing w:line="240" w:lineRule="atLeast"/>
              <w:jc w:val="center"/>
              <w:rPr>
                <w:rFonts w:asciiTheme="minorEastAsia" w:hAnsiTheme="minorEastAsia"/>
                <w:sz w:val="32"/>
                <w:szCs w:val="32"/>
              </w:rPr>
            </w:pPr>
            <w:r>
              <w:rPr>
                <w:rFonts w:hint="eastAsia" w:asciiTheme="minorEastAsia" w:hAnsiTheme="minorEastAsia"/>
                <w:sz w:val="32"/>
                <w:szCs w:val="32"/>
              </w:rPr>
              <w:t>朱云辉</w:t>
            </w:r>
          </w:p>
        </w:tc>
        <w:tc>
          <w:tcPr>
            <w:tcW w:w="5702" w:type="dxa"/>
          </w:tcPr>
          <w:p>
            <w:pPr>
              <w:spacing w:line="240" w:lineRule="atLeast"/>
              <w:jc w:val="center"/>
              <w:rPr>
                <w:rFonts w:asciiTheme="minorEastAsia" w:hAnsiTheme="minorEastAsia"/>
                <w:sz w:val="32"/>
                <w:szCs w:val="32"/>
              </w:rPr>
            </w:pPr>
            <w:r>
              <w:rPr>
                <w:rFonts w:hint="eastAsia" w:asciiTheme="minorEastAsia" w:hAnsiTheme="minorEastAsia"/>
                <w:sz w:val="32"/>
                <w:szCs w:val="32"/>
              </w:rPr>
              <w:t>云南地质工程勘察设计研究院有限公司</w:t>
            </w:r>
          </w:p>
        </w:tc>
        <w:tc>
          <w:tcPr>
            <w:tcW w:w="3544" w:type="dxa"/>
          </w:tcPr>
          <w:p>
            <w:pPr>
              <w:spacing w:line="240" w:lineRule="atLeast"/>
              <w:jc w:val="center"/>
              <w:rPr>
                <w:rFonts w:asciiTheme="minorEastAsia" w:hAnsiTheme="minorEastAsia"/>
                <w:sz w:val="32"/>
                <w:szCs w:val="32"/>
              </w:rPr>
            </w:pPr>
            <w:r>
              <w:rPr>
                <w:rFonts w:hint="eastAsia" w:asciiTheme="minorEastAsia" w:hAnsiTheme="minorEastAsia"/>
                <w:sz w:val="32"/>
                <w:szCs w:val="32"/>
              </w:rPr>
              <w:t>高级工程师</w:t>
            </w:r>
          </w:p>
        </w:tc>
      </w:tr>
    </w:tbl>
    <w:p>
      <w:pPr>
        <w:spacing w:line="240" w:lineRule="atLeast"/>
        <w:jc w:val="center"/>
        <w:rPr>
          <w:rFonts w:asciiTheme="minorEastAsia" w:hAnsiTheme="minorEastAsia"/>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3224895"/>
    </w:sdtPr>
    <w:sdtContent>
      <w:p>
        <w:pPr>
          <w:pStyle w:val="5"/>
          <w:jc w:val="center"/>
        </w:pPr>
        <w:r>
          <w:fldChar w:fldCharType="begin"/>
        </w:r>
        <w:r>
          <w:instrText xml:space="preserve">PAGE   \* MERGEFORMAT</w:instrText>
        </w:r>
        <w:r>
          <w:fldChar w:fldCharType="separate"/>
        </w:r>
        <w:r>
          <w:rPr>
            <w:lang w:val="zh-CN"/>
          </w:rPr>
          <w:t>6</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ODY5MjUwODQwZjZhYTM3MGIwMjFmYmU3MTFiMDQifQ=="/>
  </w:docVars>
  <w:rsids>
    <w:rsidRoot w:val="00F62BA9"/>
    <w:rsid w:val="000461BE"/>
    <w:rsid w:val="000B0648"/>
    <w:rsid w:val="000B7494"/>
    <w:rsid w:val="000E64B1"/>
    <w:rsid w:val="000F0C74"/>
    <w:rsid w:val="000F3A57"/>
    <w:rsid w:val="00103759"/>
    <w:rsid w:val="001169D8"/>
    <w:rsid w:val="00121770"/>
    <w:rsid w:val="00122038"/>
    <w:rsid w:val="001247C5"/>
    <w:rsid w:val="00135F71"/>
    <w:rsid w:val="0014513D"/>
    <w:rsid w:val="00147211"/>
    <w:rsid w:val="001859D6"/>
    <w:rsid w:val="001B5106"/>
    <w:rsid w:val="001C4710"/>
    <w:rsid w:val="001E679D"/>
    <w:rsid w:val="001F275B"/>
    <w:rsid w:val="001F3F1C"/>
    <w:rsid w:val="002212A8"/>
    <w:rsid w:val="00233477"/>
    <w:rsid w:val="002712CD"/>
    <w:rsid w:val="002878F0"/>
    <w:rsid w:val="0029295B"/>
    <w:rsid w:val="002C027D"/>
    <w:rsid w:val="002D6A4F"/>
    <w:rsid w:val="002E1B74"/>
    <w:rsid w:val="002F11F5"/>
    <w:rsid w:val="0030069F"/>
    <w:rsid w:val="00383D92"/>
    <w:rsid w:val="003B3F28"/>
    <w:rsid w:val="003D1DFE"/>
    <w:rsid w:val="003E38D8"/>
    <w:rsid w:val="004676D0"/>
    <w:rsid w:val="00475201"/>
    <w:rsid w:val="00496745"/>
    <w:rsid w:val="004A11C1"/>
    <w:rsid w:val="004C1FDD"/>
    <w:rsid w:val="004E7000"/>
    <w:rsid w:val="00507A3E"/>
    <w:rsid w:val="00510D7D"/>
    <w:rsid w:val="00515854"/>
    <w:rsid w:val="00545D08"/>
    <w:rsid w:val="0055403F"/>
    <w:rsid w:val="00577118"/>
    <w:rsid w:val="00580DA8"/>
    <w:rsid w:val="00586B1D"/>
    <w:rsid w:val="005B5C17"/>
    <w:rsid w:val="005D5A7D"/>
    <w:rsid w:val="005E1697"/>
    <w:rsid w:val="005E6FAA"/>
    <w:rsid w:val="00606E08"/>
    <w:rsid w:val="00626043"/>
    <w:rsid w:val="006329E2"/>
    <w:rsid w:val="0064331D"/>
    <w:rsid w:val="00671C45"/>
    <w:rsid w:val="006768B0"/>
    <w:rsid w:val="00684E57"/>
    <w:rsid w:val="006917C6"/>
    <w:rsid w:val="00693990"/>
    <w:rsid w:val="0069608B"/>
    <w:rsid w:val="006A523B"/>
    <w:rsid w:val="006D5A44"/>
    <w:rsid w:val="006E23E8"/>
    <w:rsid w:val="006E330D"/>
    <w:rsid w:val="006E6CB0"/>
    <w:rsid w:val="006F2601"/>
    <w:rsid w:val="006F552E"/>
    <w:rsid w:val="00706D1F"/>
    <w:rsid w:val="00710EBE"/>
    <w:rsid w:val="00715A5A"/>
    <w:rsid w:val="00761BDC"/>
    <w:rsid w:val="00761C54"/>
    <w:rsid w:val="00785A3E"/>
    <w:rsid w:val="007A3FA7"/>
    <w:rsid w:val="007A6CA4"/>
    <w:rsid w:val="007C4BA7"/>
    <w:rsid w:val="007D7395"/>
    <w:rsid w:val="007E4845"/>
    <w:rsid w:val="00807C0B"/>
    <w:rsid w:val="00811616"/>
    <w:rsid w:val="008325CE"/>
    <w:rsid w:val="00852025"/>
    <w:rsid w:val="0085321C"/>
    <w:rsid w:val="008533FB"/>
    <w:rsid w:val="00876019"/>
    <w:rsid w:val="0089238F"/>
    <w:rsid w:val="008F7E9C"/>
    <w:rsid w:val="00915D7A"/>
    <w:rsid w:val="00915E73"/>
    <w:rsid w:val="00952755"/>
    <w:rsid w:val="009667E2"/>
    <w:rsid w:val="009C29D1"/>
    <w:rsid w:val="009E4D3E"/>
    <w:rsid w:val="009F61F1"/>
    <w:rsid w:val="00A21FB2"/>
    <w:rsid w:val="00A30A46"/>
    <w:rsid w:val="00A5183C"/>
    <w:rsid w:val="00A62664"/>
    <w:rsid w:val="00A65AC0"/>
    <w:rsid w:val="00A675DD"/>
    <w:rsid w:val="00A72BF5"/>
    <w:rsid w:val="00A85DED"/>
    <w:rsid w:val="00AA0F46"/>
    <w:rsid w:val="00AA4A30"/>
    <w:rsid w:val="00AA6BCE"/>
    <w:rsid w:val="00AC203F"/>
    <w:rsid w:val="00AC6F90"/>
    <w:rsid w:val="00AE041B"/>
    <w:rsid w:val="00AE1EBF"/>
    <w:rsid w:val="00B05E87"/>
    <w:rsid w:val="00B06F03"/>
    <w:rsid w:val="00B10552"/>
    <w:rsid w:val="00B211EF"/>
    <w:rsid w:val="00B832F1"/>
    <w:rsid w:val="00B8377C"/>
    <w:rsid w:val="00BE02EA"/>
    <w:rsid w:val="00BE50E2"/>
    <w:rsid w:val="00BF4A0A"/>
    <w:rsid w:val="00D10AA7"/>
    <w:rsid w:val="00D226EC"/>
    <w:rsid w:val="00D37180"/>
    <w:rsid w:val="00D44FA9"/>
    <w:rsid w:val="00D96AC2"/>
    <w:rsid w:val="00DA358D"/>
    <w:rsid w:val="00DE380B"/>
    <w:rsid w:val="00E077DB"/>
    <w:rsid w:val="00E42C66"/>
    <w:rsid w:val="00E44F6C"/>
    <w:rsid w:val="00E64A0E"/>
    <w:rsid w:val="00E71114"/>
    <w:rsid w:val="00E74747"/>
    <w:rsid w:val="00EA7955"/>
    <w:rsid w:val="00EC4D9D"/>
    <w:rsid w:val="00F57EF3"/>
    <w:rsid w:val="00F60E98"/>
    <w:rsid w:val="00F62BA9"/>
    <w:rsid w:val="00F90B34"/>
    <w:rsid w:val="00FD2E2E"/>
    <w:rsid w:val="0AE1787A"/>
    <w:rsid w:val="0C9911B4"/>
    <w:rsid w:val="103919CE"/>
    <w:rsid w:val="12643DE7"/>
    <w:rsid w:val="12A40698"/>
    <w:rsid w:val="13414FE2"/>
    <w:rsid w:val="19A93EBC"/>
    <w:rsid w:val="1C206719"/>
    <w:rsid w:val="1E425385"/>
    <w:rsid w:val="1E4D0C2F"/>
    <w:rsid w:val="244870D1"/>
    <w:rsid w:val="2757465C"/>
    <w:rsid w:val="30C366B4"/>
    <w:rsid w:val="324B1132"/>
    <w:rsid w:val="354E03E2"/>
    <w:rsid w:val="3CDE0A97"/>
    <w:rsid w:val="3DBA4858"/>
    <w:rsid w:val="420A5B4A"/>
    <w:rsid w:val="45262909"/>
    <w:rsid w:val="49683F2B"/>
    <w:rsid w:val="4C7A7268"/>
    <w:rsid w:val="557442C4"/>
    <w:rsid w:val="57292546"/>
    <w:rsid w:val="5F72432E"/>
    <w:rsid w:val="60225B3C"/>
    <w:rsid w:val="6134054A"/>
    <w:rsid w:val="61441EBB"/>
    <w:rsid w:val="636E306C"/>
    <w:rsid w:val="65B8702E"/>
    <w:rsid w:val="7D7770B3"/>
    <w:rsid w:val="7D9979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toc 3"/>
    <w:basedOn w:val="1"/>
    <w:next w:val="1"/>
    <w:qFormat/>
    <w:uiPriority w:val="39"/>
    <w:pPr>
      <w:spacing w:line="300" w:lineRule="auto"/>
      <w:ind w:firstLine="300" w:firstLineChars="300"/>
    </w:pPr>
    <w:rPr>
      <w:rFonts w:ascii="Times New Roman" w:hAnsi="Times New Roman" w:eastAsia="宋体" w:cs="Times New Roman"/>
      <w:sz w:val="24"/>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toc 1"/>
    <w:basedOn w:val="1"/>
    <w:next w:val="1"/>
    <w:qFormat/>
    <w:uiPriority w:val="39"/>
    <w:pPr>
      <w:tabs>
        <w:tab w:val="right" w:leader="dot" w:pos="9060"/>
      </w:tabs>
      <w:spacing w:line="300" w:lineRule="auto"/>
    </w:pPr>
    <w:rPr>
      <w:rFonts w:ascii="Times New Roman" w:hAnsi="Times New Roman" w:cs="Times New Roman"/>
      <w:b/>
      <w:sz w:val="28"/>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2"/>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样式1"/>
    <w:basedOn w:val="1"/>
    <w:qFormat/>
    <w:uiPriority w:val="0"/>
    <w:pPr>
      <w:spacing w:line="360" w:lineRule="auto"/>
      <w:ind w:firstLine="200" w:firstLineChars="200"/>
    </w:pPr>
    <w:rPr>
      <w:rFonts w:ascii="宋体" w:hAnsi="宋体" w:eastAsia="宋体"/>
      <w:sz w:val="28"/>
      <w:szCs w:val="28"/>
    </w:rPr>
  </w:style>
  <w:style w:type="character" w:customStyle="1" w:styleId="13">
    <w:name w:val="批注框文本 Char"/>
    <w:basedOn w:val="9"/>
    <w:link w:val="4"/>
    <w:semiHidden/>
    <w:qFormat/>
    <w:uiPriority w:val="99"/>
    <w:rPr>
      <w:kern w:val="2"/>
      <w:sz w:val="18"/>
      <w:szCs w:val="18"/>
    </w:rPr>
  </w:style>
  <w:style w:type="paragraph" w:customStyle="1" w:styleId="14">
    <w:name w:val="标题3"/>
    <w:basedOn w:val="1"/>
    <w:qFormat/>
    <w:uiPriority w:val="0"/>
    <w:pPr>
      <w:widowControl/>
      <w:spacing w:line="360" w:lineRule="auto"/>
      <w:jc w:val="left"/>
    </w:pPr>
    <w:rPr>
      <w:rFonts w:ascii="Verdana" w:hAnsi="Verdana" w:eastAsia="仿宋_GB2312" w:cs="Times New Roman"/>
      <w:kern w:val="0"/>
      <w:sz w:val="28"/>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Pages>
  <Words>3219</Words>
  <Characters>3428</Characters>
  <Lines>24</Lines>
  <Paragraphs>7</Paragraphs>
  <TotalTime>3</TotalTime>
  <ScaleCrop>false</ScaleCrop>
  <LinksUpToDate>false</LinksUpToDate>
  <CharactersWithSpaces>3429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2018-04-24T09:00:00Z</dcterms:created>
  <dc:creator>Windows 用户</dc:creator>
  <cp:lastModifiedBy>羽刃1387001213</cp:lastModifiedBy>
  <cp:lastPrinted>2019-03-05T08:37:00Z</cp:lastPrinted>
  <dcterms:modified xsi:type="dcterms:W3CDTF">2023-04-23T04:11:03Z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DCB8594BDDE149B5A7D954426C510328</vt:lpwstr>
  </property>
</Properties>
</file>