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distribute"/>
        <w:textAlignment w:val="auto"/>
        <w:rPr>
          <w:rFonts w:hint="eastAsia" w:ascii="方正小标宋_GBK" w:hAnsi="方正小标宋_GBK" w:eastAsia="方正小标宋_GBK" w:cs="方正小标宋_GBK"/>
          <w:b/>
          <w:bCs/>
          <w:color w:val="FF0000"/>
          <w:w w:val="90"/>
          <w:kern w:val="16"/>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distribute"/>
        <w:textAlignment w:val="auto"/>
        <w:rPr>
          <w:rFonts w:hint="eastAsia" w:ascii="方正小标宋_GBK" w:hAnsi="方正小标宋_GBK" w:eastAsia="方正小标宋_GBK" w:cs="方正小标宋_GBK"/>
          <w:b/>
          <w:bCs/>
          <w:color w:val="FF0000"/>
          <w:w w:val="90"/>
          <w:kern w:val="16"/>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distribute"/>
        <w:textAlignment w:val="auto"/>
        <w:rPr>
          <w:rFonts w:hint="eastAsia" w:ascii="方正小标宋_GBK" w:hAnsi="方正小标宋_GBK" w:eastAsia="方正小标宋_GBK" w:cs="方正小标宋_GBK"/>
          <w:b/>
          <w:bCs/>
          <w:color w:val="FF0000"/>
          <w:w w:val="90"/>
          <w:kern w:val="16"/>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distribute"/>
        <w:textAlignment w:val="auto"/>
        <w:rPr>
          <w:rFonts w:hint="eastAsia" w:ascii="方正小标宋_GBK" w:hAnsi="方正小标宋_GBK" w:eastAsia="方正小标宋_GBK" w:cs="方正小标宋_GBK"/>
          <w:b/>
          <w:bCs/>
          <w:color w:val="FF0000"/>
          <w:sz w:val="32"/>
          <w:szCs w:val="32"/>
          <w:highlight w:val="none"/>
        </w:rPr>
      </w:pPr>
      <w:r>
        <w:rPr>
          <w:rFonts w:hint="eastAsia" w:ascii="方正小标宋_GBK" w:hAnsi="方正小标宋_GBK" w:eastAsia="方正小标宋_GBK" w:cs="方正小标宋_GBK"/>
          <w:b/>
          <w:bCs/>
          <w:color w:val="FF0000"/>
          <w:w w:val="90"/>
          <w:kern w:val="16"/>
          <w:sz w:val="84"/>
          <w:szCs w:val="84"/>
          <w:highlight w:val="none"/>
        </w:rPr>
        <w:t>临沧市生态环境局文件</w:t>
      </w:r>
    </w:p>
    <w:p>
      <w:pPr>
        <w:spacing w:line="0" w:lineRule="atLeast"/>
        <w:ind w:firstLine="1600" w:firstLineChars="800"/>
        <w:rPr>
          <w:rFonts w:hint="eastAsia" w:ascii="仿宋_GB2312" w:hAnsi="仿宋_GB2312" w:eastAsia="仿宋_GB2312" w:cs="仿宋_GB2312"/>
          <w:color w:val="000000"/>
          <w:sz w:val="20"/>
          <w:szCs w:val="20"/>
        </w:rPr>
      </w:pPr>
    </w:p>
    <w:p>
      <w:pPr>
        <w:spacing w:line="0" w:lineRule="atLeast"/>
        <w:ind w:left="0" w:leftChars="0" w:firstLine="0" w:firstLineChars="0"/>
        <w:jc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临环审〔202</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124</w:t>
      </w:r>
      <w:r>
        <w:rPr>
          <w:rFonts w:hint="eastAsia" w:ascii="仿宋_GB2312" w:hAnsi="仿宋_GB2312" w:eastAsia="仿宋_GB2312" w:cs="仿宋_GB2312"/>
          <w:color w:val="000000"/>
          <w:sz w:val="32"/>
          <w:szCs w:val="32"/>
          <w:highlight w:val="none"/>
        </w:rPr>
        <w:t>号</w:t>
      </w:r>
    </w:p>
    <w:p>
      <w:pPr>
        <w:spacing w:line="0" w:lineRule="atLeas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116205</wp:posOffset>
                </wp:positionV>
                <wp:extent cx="5715000" cy="0"/>
                <wp:effectExtent l="0" t="13970" r="0" b="24130"/>
                <wp:wrapNone/>
                <wp:docPr id="7" name="直接连接符 7"/>
                <wp:cNvGraphicFramePr/>
                <a:graphic xmlns:a="http://schemas.openxmlformats.org/drawingml/2006/main">
                  <a:graphicData uri="http://schemas.microsoft.com/office/word/2010/wordprocessingShape">
                    <wps:wsp>
                      <wps:cNvCnPr/>
                      <wps:spPr>
                        <a:xfrm>
                          <a:off x="0" y="0"/>
                          <a:ext cx="5715000" cy="0"/>
                        </a:xfrm>
                        <a:prstGeom prst="line">
                          <a:avLst/>
                        </a:prstGeom>
                        <a:ln w="28575" cap="flat" cmpd="thickThin">
                          <a:solidFill>
                            <a:srgbClr val="FF0000"/>
                          </a:solidFill>
                          <a:prstDash val="solid"/>
                          <a:round/>
                          <a:headEnd type="none" w="med" len="med"/>
                          <a:tailEnd type="none" w="med" len="med"/>
                        </a:ln>
                        <a:effectLst/>
                      </wps:spPr>
                      <wps:bodyPr upright="true"/>
                    </wps:wsp>
                  </a:graphicData>
                </a:graphic>
              </wp:anchor>
            </w:drawing>
          </mc:Choice>
          <mc:Fallback>
            <w:pict>
              <v:line id="_x0000_s1026" o:spid="_x0000_s1026" o:spt="20" style="position:absolute;left:0pt;margin-left:1.5pt;margin-top:9.15pt;height:0pt;width:450pt;z-index:251659264;mso-width-relative:page;mso-height-relative:page;" filled="f" stroked="t" coordsize="21600,21600" o:gfxdata="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Xk/k00gAAAAcBAAAPAAAAAAAAAAEAIAAAADgAAABkcnMvZG93bnJl&#10;di54bWxQSwECFAAUAAAACACHTuJA+DhheO0BAAC4AwAADgAAAAAAAAABACAAAAA3AQAAZHJzL2Uy&#10;b0RvYy54bWxQSwUGAAAAAAYABgBZAQAAlgUAAAAA&#10;">
                <v:fill on="f" focussize="0,0"/>
                <v:stroke weight="2.25pt" color="#FF0000" linestyle="thick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bCs/>
          <w:color w:val="000000"/>
          <w:sz w:val="32"/>
          <w:szCs w:val="32"/>
          <w:lang w:val="en-US" w:eastAsia="zh-CN"/>
        </w:rPr>
      </w:pPr>
    </w:p>
    <w:p>
      <w:pPr>
        <w:keepNext w:val="0"/>
        <w:keepLines w:val="0"/>
        <w:pageBreakBefore w:val="0"/>
        <w:widowControl w:val="0"/>
        <w:kinsoku/>
        <w:wordWrap/>
        <w:overflowPunct/>
        <w:topLinePunct w:val="0"/>
        <w:autoSpaceDE/>
        <w:autoSpaceDN/>
        <w:bidi w:val="0"/>
        <w:spacing w:line="0" w:lineRule="atLeast"/>
        <w:ind w:firstLine="0" w:firstLineChars="0"/>
        <w:jc w:val="center"/>
        <w:textAlignment w:val="auto"/>
        <w:rPr>
          <w:rFonts w:hint="eastAsia" w:ascii="方正小标宋_GBK" w:hAnsi="方正小标宋_GBK" w:eastAsia="方正小标宋_GBK" w:cs="方正小标宋_GBK"/>
          <w:b/>
          <w:bCs/>
          <w:color w:val="000000"/>
          <w:sz w:val="44"/>
          <w:szCs w:val="44"/>
          <w:highlight w:val="none"/>
        </w:rPr>
      </w:pPr>
      <w:r>
        <w:rPr>
          <w:rFonts w:hint="eastAsia" w:ascii="方正小标宋_GBK" w:hAnsi="方正小标宋_GBK" w:eastAsia="方正小标宋_GBK" w:cs="方正小标宋_GBK"/>
          <w:b/>
          <w:bCs/>
          <w:color w:val="000000"/>
          <w:sz w:val="44"/>
          <w:szCs w:val="44"/>
        </w:rPr>
        <w:t>临沧市生态环境局关于</w:t>
      </w:r>
      <w:r>
        <w:rPr>
          <w:rFonts w:hint="eastAsia" w:ascii="方正小标宋_GBK" w:hAnsi="方正小标宋_GBK" w:eastAsia="方正小标宋_GBK" w:cs="方正小标宋_GBK"/>
          <w:b/>
          <w:bCs/>
          <w:color w:val="000000"/>
          <w:sz w:val="44"/>
          <w:szCs w:val="44"/>
          <w:lang w:val="en-US" w:eastAsia="zh-CN"/>
        </w:rPr>
        <w:t>云县净鑫洗涤服务项目</w:t>
      </w:r>
      <w:r>
        <w:rPr>
          <w:rFonts w:hint="eastAsia" w:ascii="方正小标宋_GBK" w:hAnsi="方正小标宋_GBK" w:eastAsia="方正小标宋_GBK" w:cs="方正小标宋_GBK"/>
          <w:b/>
          <w:bCs/>
          <w:color w:val="000000"/>
          <w:sz w:val="44"/>
          <w:szCs w:val="44"/>
        </w:rPr>
        <w:t>环境影响报告</w:t>
      </w:r>
      <w:r>
        <w:rPr>
          <w:rFonts w:hint="eastAsia" w:ascii="方正小标宋_GBK" w:hAnsi="方正小标宋_GBK" w:eastAsia="方正小标宋_GBK" w:cs="方正小标宋_GBK"/>
          <w:b/>
          <w:bCs/>
          <w:color w:val="000000"/>
          <w:sz w:val="44"/>
          <w:szCs w:val="44"/>
          <w:lang w:val="en-US" w:eastAsia="zh-CN"/>
        </w:rPr>
        <w:t>表</w:t>
      </w:r>
      <w:r>
        <w:rPr>
          <w:rFonts w:hint="eastAsia" w:ascii="方正小标宋_GBK" w:hAnsi="方正小标宋_GBK" w:eastAsia="方正小标宋_GBK" w:cs="方正小标宋_GBK"/>
          <w:b/>
          <w:bCs/>
          <w:color w:val="000000"/>
          <w:sz w:val="44"/>
          <w:szCs w:val="44"/>
        </w:rPr>
        <w:t>的批复</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left"/>
        <w:textAlignment w:val="auto"/>
        <w:outlineLvl w:val="9"/>
        <w:rPr>
          <w:rFonts w:hint="eastAsia" w:ascii="仿宋_GB2312" w:hAnsi="仿宋_GB2312" w:eastAsia="仿宋_GB2312" w:cs="仿宋_GB2312"/>
          <w:i w:val="0"/>
          <w:iCs w:val="0"/>
          <w:caps w:val="0"/>
          <w:color w:val="000000"/>
          <w:spacing w:val="0"/>
          <w:sz w:val="32"/>
          <w:szCs w:val="32"/>
          <w:highlight w:val="none"/>
          <w:shd w:val="clear" w:color="auto" w:fill="FFFFFF"/>
        </w:rPr>
      </w:pP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left"/>
        <w:textAlignment w:val="auto"/>
        <w:outlineLvl w:val="9"/>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pP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云县净鑫洗涤服务有限公司：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你公司申请报批的《云县净鑫洗涤服务项目</w:t>
      </w:r>
      <w:r>
        <w:rPr>
          <w:rFonts w:hint="eastAsia" w:ascii="仿宋_GB2312" w:hAnsi="仿宋_GB2312" w:eastAsia="仿宋_GB2312" w:cs="仿宋_GB2312"/>
          <w:color w:val="000000"/>
          <w:kern w:val="0"/>
          <w:sz w:val="32"/>
          <w:szCs w:val="32"/>
          <w:lang w:val="en-US" w:eastAsia="zh-CN"/>
        </w:rPr>
        <w:t>环境影响报告表</w:t>
      </w:r>
      <w:r>
        <w:rPr>
          <w:rFonts w:hint="eastAsia" w:ascii="仿宋_GB2312" w:hAnsi="仿宋_GB2312" w:eastAsia="仿宋_GB2312" w:cs="仿宋_GB2312"/>
          <w:color w:val="000000"/>
          <w:kern w:val="0"/>
          <w:sz w:val="32"/>
          <w:szCs w:val="32"/>
          <w:highlight w:val="none"/>
          <w:lang w:val="en-US" w:eastAsia="zh-CN"/>
        </w:rPr>
        <w:t>》（以下简称《报告表》）收悉。现批复如下：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b w:val="0"/>
          <w:bCs w:val="0"/>
          <w:color w:val="000000"/>
          <w:sz w:val="32"/>
          <w:szCs w:val="32"/>
          <w:highlight w:val="none"/>
        </w:rPr>
      </w:pPr>
      <w:r>
        <w:rPr>
          <w:rFonts w:hint="eastAsia" w:ascii="黑体" w:hAnsi="黑体" w:eastAsia="黑体" w:cs="黑体"/>
          <w:b w:val="0"/>
          <w:bCs w:val="0"/>
          <w:color w:val="000000"/>
          <w:sz w:val="32"/>
          <w:szCs w:val="32"/>
          <w:highlight w:val="none"/>
        </w:rPr>
        <w:t>一、项目基本信息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项目位于云南省临沧市云县爱华镇立早村（云南再生资源产业园）C7-C12地块，项目</w:t>
      </w:r>
      <w:r>
        <w:rPr>
          <w:rFonts w:hint="default" w:ascii="仿宋_GB2312" w:hAnsi="仿宋_GB2312" w:eastAsia="仿宋_GB2312" w:cs="仿宋_GB2312"/>
          <w:color w:val="000000"/>
          <w:kern w:val="0"/>
          <w:sz w:val="32"/>
          <w:szCs w:val="32"/>
          <w:highlight w:val="none"/>
          <w:lang w:val="en-US" w:eastAsia="zh-CN"/>
        </w:rPr>
        <w:t>中心坐标为东经</w:t>
      </w:r>
      <w:r>
        <w:rPr>
          <w:rFonts w:hint="eastAsia" w:ascii="仿宋_GB2312" w:hAnsi="仿宋_GB2312" w:eastAsia="仿宋_GB2312" w:cs="仿宋_GB2312"/>
          <w:color w:val="000000"/>
          <w:kern w:val="0"/>
          <w:sz w:val="32"/>
          <w:szCs w:val="32"/>
          <w:highlight w:val="none"/>
          <w:lang w:val="en-US" w:eastAsia="zh-CN"/>
        </w:rPr>
        <w:t>100</w:t>
      </w:r>
      <w:r>
        <w:rPr>
          <w:rFonts w:hint="default" w:ascii="仿宋_GB2312" w:hAnsi="仿宋_GB2312" w:eastAsia="仿宋_GB2312" w:cs="仿宋_GB2312"/>
          <w:color w:val="000000"/>
          <w:kern w:val="0"/>
          <w:sz w:val="32"/>
          <w:szCs w:val="32"/>
          <w:highlight w:val="none"/>
          <w:lang w:val="en-US" w:eastAsia="zh-CN"/>
        </w:rPr>
        <w:t>°</w:t>
      </w:r>
      <w:r>
        <w:rPr>
          <w:rFonts w:hint="eastAsia" w:ascii="仿宋_GB2312" w:hAnsi="仿宋_GB2312" w:eastAsia="仿宋_GB2312" w:cs="仿宋_GB2312"/>
          <w:color w:val="000000"/>
          <w:kern w:val="0"/>
          <w:sz w:val="32"/>
          <w:szCs w:val="32"/>
          <w:highlight w:val="none"/>
          <w:lang w:val="en-US" w:eastAsia="zh-CN"/>
        </w:rPr>
        <w:t>10</w:t>
      </w:r>
      <w:r>
        <w:rPr>
          <w:rFonts w:hint="default" w:ascii="仿宋_GB2312" w:hAnsi="仿宋_GB2312" w:eastAsia="仿宋_GB2312" w:cs="仿宋_GB2312"/>
          <w:color w:val="000000"/>
          <w:kern w:val="0"/>
          <w:sz w:val="32"/>
          <w:szCs w:val="32"/>
          <w:highlight w:val="none"/>
          <w:lang w:val="en-US" w:eastAsia="zh-CN"/>
        </w:rPr>
        <w:t>′</w:t>
      </w:r>
      <w:r>
        <w:rPr>
          <w:rFonts w:hint="eastAsia" w:ascii="仿宋_GB2312" w:hAnsi="仿宋_GB2312" w:eastAsia="仿宋_GB2312" w:cs="仿宋_GB2312"/>
          <w:color w:val="000000"/>
          <w:kern w:val="0"/>
          <w:sz w:val="32"/>
          <w:szCs w:val="32"/>
          <w:highlight w:val="none"/>
          <w:lang w:val="en-US" w:eastAsia="zh-CN"/>
        </w:rPr>
        <w:t>11.598</w:t>
      </w:r>
      <w:r>
        <w:rPr>
          <w:rFonts w:hint="default" w:ascii="仿宋_GB2312" w:hAnsi="仿宋_GB2312" w:eastAsia="仿宋_GB2312" w:cs="仿宋_GB2312"/>
          <w:color w:val="000000"/>
          <w:kern w:val="0"/>
          <w:sz w:val="32"/>
          <w:szCs w:val="32"/>
          <w:highlight w:val="none"/>
          <w:lang w:val="en-US" w:eastAsia="zh-CN"/>
        </w:rPr>
        <w:t>″，北纬2</w:t>
      </w:r>
      <w:r>
        <w:rPr>
          <w:rFonts w:hint="eastAsia" w:ascii="仿宋_GB2312" w:hAnsi="仿宋_GB2312" w:eastAsia="仿宋_GB2312" w:cs="仿宋_GB2312"/>
          <w:color w:val="000000"/>
          <w:kern w:val="0"/>
          <w:sz w:val="32"/>
          <w:szCs w:val="32"/>
          <w:highlight w:val="none"/>
          <w:lang w:val="en-US" w:eastAsia="zh-CN"/>
        </w:rPr>
        <w:t>4</w:t>
      </w:r>
      <w:r>
        <w:rPr>
          <w:rFonts w:hint="default" w:ascii="仿宋_GB2312" w:hAnsi="仿宋_GB2312" w:eastAsia="仿宋_GB2312" w:cs="仿宋_GB2312"/>
          <w:color w:val="000000"/>
          <w:kern w:val="0"/>
          <w:sz w:val="32"/>
          <w:szCs w:val="32"/>
          <w:highlight w:val="none"/>
          <w:lang w:val="en-US" w:eastAsia="zh-CN"/>
        </w:rPr>
        <w:t>°</w:t>
      </w:r>
      <w:r>
        <w:rPr>
          <w:rFonts w:hint="eastAsia" w:ascii="仿宋_GB2312" w:hAnsi="仿宋_GB2312" w:eastAsia="仿宋_GB2312" w:cs="仿宋_GB2312"/>
          <w:color w:val="000000"/>
          <w:kern w:val="0"/>
          <w:sz w:val="32"/>
          <w:szCs w:val="32"/>
          <w:highlight w:val="none"/>
          <w:lang w:val="en-US" w:eastAsia="zh-CN"/>
        </w:rPr>
        <w:t>29</w:t>
      </w:r>
      <w:r>
        <w:rPr>
          <w:rFonts w:hint="default" w:ascii="仿宋_GB2312" w:hAnsi="仿宋_GB2312" w:eastAsia="仿宋_GB2312" w:cs="仿宋_GB2312"/>
          <w:color w:val="000000"/>
          <w:kern w:val="0"/>
          <w:sz w:val="32"/>
          <w:szCs w:val="32"/>
          <w:highlight w:val="none"/>
          <w:lang w:val="en-US" w:eastAsia="zh-CN"/>
        </w:rPr>
        <w:t>′</w:t>
      </w:r>
      <w:r>
        <w:rPr>
          <w:rFonts w:hint="eastAsia" w:ascii="仿宋_GB2312" w:hAnsi="仿宋_GB2312" w:eastAsia="仿宋_GB2312" w:cs="仿宋_GB2312"/>
          <w:color w:val="000000"/>
          <w:kern w:val="0"/>
          <w:sz w:val="32"/>
          <w:szCs w:val="32"/>
          <w:highlight w:val="none"/>
          <w:lang w:val="en-US" w:eastAsia="zh-CN"/>
        </w:rPr>
        <w:t>45.704</w:t>
      </w:r>
      <w:r>
        <w:rPr>
          <w:rFonts w:hint="default" w:ascii="仿宋_GB2312" w:hAnsi="仿宋_GB2312" w:eastAsia="仿宋_GB2312" w:cs="仿宋_GB2312"/>
          <w:color w:val="000000"/>
          <w:kern w:val="0"/>
          <w:sz w:val="32"/>
          <w:szCs w:val="32"/>
          <w:highlight w:val="none"/>
          <w:lang w:val="en-US" w:eastAsia="zh-CN"/>
        </w:rPr>
        <w:t>″。</w:t>
      </w:r>
      <w:r>
        <w:rPr>
          <w:rFonts w:hint="eastAsia" w:ascii="仿宋_GB2312" w:hAnsi="仿宋_GB2312" w:eastAsia="仿宋_GB2312" w:cs="仿宋_GB2312"/>
          <w:color w:val="000000"/>
          <w:kern w:val="0"/>
          <w:sz w:val="32"/>
          <w:szCs w:val="32"/>
          <w:highlight w:val="none"/>
          <w:lang w:val="en-US" w:eastAsia="zh-CN"/>
        </w:rPr>
        <w:t>项目区占地面积为3100m</w:t>
      </w:r>
      <w:r>
        <w:rPr>
          <w:rFonts w:hint="eastAsia" w:ascii="仿宋_GB2312" w:hAnsi="仿宋_GB2312" w:eastAsia="仿宋_GB2312" w:cs="仿宋_GB2312"/>
          <w:color w:val="000000"/>
          <w:kern w:val="0"/>
          <w:sz w:val="32"/>
          <w:szCs w:val="32"/>
          <w:highlight w:val="none"/>
          <w:vertAlign w:val="superscript"/>
          <w:lang w:val="en-US" w:eastAsia="zh-CN"/>
        </w:rPr>
        <w:t>2</w:t>
      </w:r>
      <w:r>
        <w:rPr>
          <w:rFonts w:hint="eastAsia" w:ascii="仿宋_GB2312" w:hAnsi="仿宋_GB2312" w:eastAsia="仿宋_GB2312" w:cs="仿宋_GB2312"/>
          <w:color w:val="000000"/>
          <w:kern w:val="0"/>
          <w:sz w:val="32"/>
          <w:szCs w:val="32"/>
          <w:highlight w:val="none"/>
          <w:lang w:val="en-US" w:eastAsia="zh-CN"/>
        </w:rPr>
        <w:t>，主要建设1条洗涤生产线，年洗涤50万套布草(不包含医疗机构病床布草)。项目总投资600</w:t>
      </w:r>
      <w:r>
        <w:rPr>
          <w:rFonts w:hint="default" w:ascii="仿宋_GB2312" w:hAnsi="仿宋_GB2312" w:eastAsia="仿宋_GB2312" w:cs="仿宋_GB2312"/>
          <w:color w:val="000000"/>
          <w:kern w:val="0"/>
          <w:sz w:val="32"/>
          <w:szCs w:val="32"/>
          <w:highlight w:val="none"/>
          <w:lang w:val="en-US" w:eastAsia="zh-CN"/>
        </w:rPr>
        <w:t>万元，其中环保投资</w:t>
      </w:r>
      <w:r>
        <w:rPr>
          <w:rFonts w:hint="eastAsia" w:ascii="仿宋_GB2312" w:hAnsi="仿宋_GB2312" w:eastAsia="仿宋_GB2312" w:cs="仿宋_GB2312"/>
          <w:color w:val="000000"/>
          <w:kern w:val="0"/>
          <w:sz w:val="32"/>
          <w:szCs w:val="32"/>
          <w:highlight w:val="none"/>
          <w:lang w:val="en-US" w:eastAsia="zh-CN"/>
        </w:rPr>
        <w:t>91.8</w:t>
      </w:r>
      <w:r>
        <w:rPr>
          <w:rFonts w:hint="default" w:ascii="仿宋_GB2312" w:hAnsi="仿宋_GB2312" w:eastAsia="仿宋_GB2312" w:cs="仿宋_GB2312"/>
          <w:color w:val="000000"/>
          <w:kern w:val="0"/>
          <w:sz w:val="32"/>
          <w:szCs w:val="32"/>
          <w:highlight w:val="none"/>
          <w:lang w:val="en-US" w:eastAsia="zh-CN"/>
        </w:rPr>
        <w:t>万元，环保投资占比</w:t>
      </w:r>
      <w:r>
        <w:rPr>
          <w:rFonts w:hint="eastAsia" w:ascii="仿宋_GB2312" w:hAnsi="仿宋_GB2312" w:eastAsia="仿宋_GB2312" w:cs="仿宋_GB2312"/>
          <w:color w:val="000000"/>
          <w:kern w:val="0"/>
          <w:sz w:val="32"/>
          <w:szCs w:val="32"/>
          <w:highlight w:val="none"/>
          <w:lang w:val="en-US" w:eastAsia="zh-CN"/>
        </w:rPr>
        <w:t>15.3</w:t>
      </w:r>
      <w:r>
        <w:rPr>
          <w:rFonts w:hint="default" w:ascii="仿宋_GB2312" w:hAnsi="仿宋_GB2312" w:eastAsia="仿宋_GB2312" w:cs="仿宋_GB2312"/>
          <w:color w:val="000000"/>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该《</w:t>
      </w:r>
      <w:r>
        <w:rPr>
          <w:rFonts w:hint="eastAsia" w:ascii="仿宋_GB2312" w:hAnsi="仿宋_GB2312" w:eastAsia="仿宋_GB2312" w:cs="仿宋_GB2312"/>
          <w:color w:val="000000"/>
          <w:sz w:val="32"/>
          <w:szCs w:val="32"/>
          <w:highlight w:val="none"/>
          <w:lang w:eastAsia="zh-CN"/>
        </w:rPr>
        <w:t>报告表</w:t>
      </w:r>
      <w:r>
        <w:rPr>
          <w:rFonts w:hint="eastAsia" w:ascii="仿宋_GB2312" w:hAnsi="仿宋_GB2312" w:eastAsia="仿宋_GB2312" w:cs="仿宋_GB2312"/>
          <w:color w:val="000000"/>
          <w:sz w:val="32"/>
          <w:szCs w:val="32"/>
          <w:highlight w:val="none"/>
        </w:rPr>
        <w:t>》可作为该项目环境保护设计、建设、验收和运行环境管理的依据。项目建设符合国家及云南省对建设项目环境影响评价文件审批的有关规定，不存在工程建设的重大环境制约因素，</w:t>
      </w:r>
      <w:r>
        <w:rPr>
          <w:rFonts w:hint="eastAsia" w:ascii="仿宋_GB2312" w:hAnsi="仿宋_GB2312" w:eastAsia="仿宋_GB2312" w:cs="仿宋_GB2312"/>
          <w:color w:val="000000"/>
          <w:sz w:val="32"/>
          <w:szCs w:val="32"/>
          <w:highlight w:val="none"/>
          <w:lang w:eastAsia="zh-CN"/>
        </w:rPr>
        <w:t>市生态环境局</w:t>
      </w:r>
      <w:r>
        <w:rPr>
          <w:rFonts w:hint="eastAsia" w:ascii="仿宋_GB2312" w:hAnsi="仿宋_GB2312" w:eastAsia="仿宋_GB2312" w:cs="仿宋_GB2312"/>
          <w:color w:val="000000"/>
          <w:sz w:val="32"/>
          <w:szCs w:val="32"/>
          <w:highlight w:val="none"/>
        </w:rPr>
        <w:t>同意按照《</w:t>
      </w:r>
      <w:r>
        <w:rPr>
          <w:rFonts w:hint="eastAsia" w:ascii="仿宋_GB2312" w:hAnsi="仿宋_GB2312" w:eastAsia="仿宋_GB2312" w:cs="仿宋_GB2312"/>
          <w:color w:val="000000"/>
          <w:sz w:val="32"/>
          <w:szCs w:val="32"/>
          <w:highlight w:val="none"/>
          <w:lang w:eastAsia="zh-CN"/>
        </w:rPr>
        <w:t>报告表</w:t>
      </w:r>
      <w:r>
        <w:rPr>
          <w:rFonts w:hint="eastAsia" w:ascii="仿宋_GB2312" w:hAnsi="仿宋_GB2312" w:eastAsia="仿宋_GB2312" w:cs="仿宋_GB2312"/>
          <w:color w:val="000000"/>
          <w:sz w:val="32"/>
          <w:szCs w:val="32"/>
          <w:highlight w:val="none"/>
        </w:rPr>
        <w:t>》所述的环境保护对策措施方案建设。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二、项目建设和运营过程中应当做好的工作</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default" w:ascii="仿宋_GB2312" w:hAnsi="仿宋_GB2312" w:eastAsia="仿宋_GB2312" w:cs="仿宋_GB2312"/>
          <w:color w:val="000000"/>
          <w:spacing w:val="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（一）</w:t>
      </w:r>
      <w:r>
        <w:rPr>
          <w:rFonts w:hint="eastAsia" w:ascii="仿宋_GB2312" w:hAnsi="仿宋_GB2312" w:eastAsia="仿宋_GB2312" w:cs="仿宋_GB2312"/>
          <w:color w:val="000000"/>
          <w:spacing w:val="0"/>
          <w:sz w:val="32"/>
          <w:szCs w:val="32"/>
          <w:highlight w:val="none"/>
          <w:lang w:eastAsia="zh-CN"/>
        </w:rPr>
        <w:t>请</w:t>
      </w:r>
      <w:r>
        <w:rPr>
          <w:rFonts w:hint="eastAsia" w:ascii="仿宋_GB2312" w:hAnsi="仿宋_GB2312" w:eastAsia="仿宋_GB2312" w:cs="仿宋_GB2312"/>
          <w:color w:val="000000"/>
          <w:spacing w:val="0"/>
          <w:sz w:val="32"/>
          <w:szCs w:val="32"/>
          <w:highlight w:val="none"/>
          <w:lang w:val="en-US" w:eastAsia="zh-CN"/>
        </w:rPr>
        <w:t>你</w:t>
      </w:r>
      <w:r>
        <w:rPr>
          <w:rFonts w:hint="eastAsia" w:ascii="仿宋_GB2312" w:hAnsi="仿宋_GB2312" w:eastAsia="仿宋_GB2312" w:cs="仿宋_GB2312"/>
          <w:color w:val="000000"/>
          <w:kern w:val="0"/>
          <w:sz w:val="32"/>
          <w:szCs w:val="32"/>
          <w:highlight w:val="none"/>
          <w:lang w:val="en-US" w:eastAsia="zh-CN"/>
        </w:rPr>
        <w:t>公司</w:t>
      </w:r>
      <w:r>
        <w:rPr>
          <w:rFonts w:hint="eastAsia" w:ascii="仿宋_GB2312" w:hAnsi="仿宋_GB2312" w:eastAsia="仿宋_GB2312" w:cs="仿宋_GB2312"/>
          <w:color w:val="000000"/>
          <w:spacing w:val="0"/>
          <w:sz w:val="32"/>
          <w:szCs w:val="32"/>
          <w:highlight w:val="none"/>
          <w:lang w:eastAsia="zh-CN"/>
        </w:rPr>
        <w:t>严格对照《报告表》提出的各项污染防治措施及要求落实</w:t>
      </w:r>
      <w:r>
        <w:rPr>
          <w:rFonts w:hint="eastAsia" w:ascii="仿宋_GB2312" w:hAnsi="仿宋_GB2312" w:eastAsia="仿宋_GB2312" w:cs="仿宋_GB2312"/>
          <w:color w:val="000000"/>
          <w:spacing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（二）</w:t>
      </w:r>
      <w:r>
        <w:rPr>
          <w:rFonts w:hint="eastAsia" w:ascii="仿宋_GB2312" w:hAnsi="仿宋_GB2312" w:eastAsia="仿宋_GB2312" w:cs="仿宋_GB2312"/>
          <w:b w:val="0"/>
          <w:bCs w:val="0"/>
          <w:color w:val="000000"/>
          <w:sz w:val="32"/>
          <w:szCs w:val="32"/>
          <w:highlight w:val="none"/>
        </w:rPr>
        <w:t>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三）项目环境影响评价文件经批准后，如工程的性质、规模、工艺、地点或者防治污染、防止生态破坏的措施发生重大变动的，建设公司应当重新报批环境影响评价文件，否则不得实施建设。自环评批复文件批准之日起，如工程超过5年未开工建设，环境影响评价文件应当报临沧市生态环境局重新审核。</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sz w:val="32"/>
          <w:szCs w:val="32"/>
          <w:highlight w:val="none"/>
          <w:lang w:val="en-US" w:eastAsia="zh-CN"/>
        </w:rPr>
        <w:t>（四）</w:t>
      </w:r>
      <w:r>
        <w:rPr>
          <w:rFonts w:hint="eastAsia" w:ascii="仿宋_GB2312" w:hAnsi="仿宋_GB2312" w:eastAsia="仿宋_GB2312" w:cs="仿宋_GB2312"/>
          <w:color w:val="000000"/>
          <w:spacing w:val="0"/>
          <w:sz w:val="32"/>
          <w:szCs w:val="32"/>
          <w:highlight w:val="none"/>
          <w:lang w:eastAsia="zh-CN"/>
        </w:rPr>
        <w:t>请</w:t>
      </w:r>
      <w:r>
        <w:rPr>
          <w:rFonts w:hint="eastAsia" w:ascii="仿宋_GB2312" w:hAnsi="仿宋_GB2312" w:eastAsia="仿宋_GB2312" w:cs="仿宋_GB2312"/>
          <w:color w:val="000000"/>
          <w:spacing w:val="0"/>
          <w:sz w:val="32"/>
          <w:szCs w:val="32"/>
          <w:highlight w:val="none"/>
          <w:lang w:val="en-US" w:eastAsia="zh-CN"/>
        </w:rPr>
        <w:t>你</w:t>
      </w:r>
      <w:r>
        <w:rPr>
          <w:rFonts w:hint="eastAsia" w:ascii="仿宋_GB2312" w:hAnsi="仿宋_GB2312" w:eastAsia="仿宋_GB2312" w:cs="仿宋_GB2312"/>
          <w:color w:val="000000"/>
          <w:kern w:val="0"/>
          <w:sz w:val="32"/>
          <w:szCs w:val="32"/>
          <w:highlight w:val="none"/>
          <w:lang w:val="en-US" w:eastAsia="zh-CN"/>
        </w:rPr>
        <w:t>公司</w:t>
      </w:r>
      <w:r>
        <w:rPr>
          <w:rFonts w:hint="eastAsia" w:ascii="仿宋_GB2312" w:hAnsi="仿宋_GB2312" w:eastAsia="仿宋_GB2312" w:cs="仿宋_GB2312"/>
          <w:color w:val="000000"/>
          <w:spacing w:val="0"/>
          <w:sz w:val="32"/>
          <w:szCs w:val="32"/>
          <w:highlight w:val="none"/>
          <w:lang w:val="en-US" w:eastAsia="zh-CN"/>
        </w:rPr>
        <w:t>严格</w:t>
      </w:r>
      <w:r>
        <w:rPr>
          <w:rFonts w:hint="eastAsia" w:ascii="仿宋_GB2312" w:hAnsi="仿宋_GB2312" w:eastAsia="仿宋_GB2312" w:cs="仿宋_GB2312"/>
          <w:color w:val="000000"/>
          <w:sz w:val="32"/>
          <w:szCs w:val="32"/>
          <w:highlight w:val="none"/>
          <w:lang w:val="en-US" w:eastAsia="zh-CN"/>
        </w:rPr>
        <w:t>按照《突发环境事件应急预案管理暂行办法》的要求，强化环境风险管理，制定环境风险应急预案并报市生态环境局云县分局备案；落实各项环境风险防范和应急处置设施（措施），做好日常环境应急演练和培训，开展环境监测，保障环境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lang w:val="en-US" w:eastAsia="zh-CN" w:bidi="ar-SA"/>
        </w:rPr>
        <w:t>（五）</w:t>
      </w:r>
      <w:r>
        <w:rPr>
          <w:rFonts w:hint="eastAsia" w:ascii="仿宋_GB2312" w:hAnsi="仿宋_GB2312" w:eastAsia="仿宋_GB2312" w:cs="仿宋_GB2312"/>
          <w:color w:val="000000"/>
          <w:sz w:val="32"/>
          <w:szCs w:val="32"/>
          <w:highlight w:val="none"/>
          <w:lang w:val="en-US" w:eastAsia="zh-CN"/>
        </w:rPr>
        <w:t>项目竣工后，</w:t>
      </w:r>
      <w:r>
        <w:rPr>
          <w:rFonts w:hint="eastAsia" w:ascii="仿宋_GB2312" w:hAnsi="仿宋_GB2312" w:eastAsia="仿宋_GB2312" w:cs="仿宋_GB2312"/>
          <w:color w:val="000000"/>
          <w:spacing w:val="0"/>
          <w:sz w:val="32"/>
          <w:szCs w:val="32"/>
          <w:highlight w:val="none"/>
          <w:lang w:eastAsia="zh-CN"/>
        </w:rPr>
        <w:t>请</w:t>
      </w:r>
      <w:r>
        <w:rPr>
          <w:rFonts w:hint="eastAsia" w:ascii="仿宋_GB2312" w:hAnsi="仿宋_GB2312" w:eastAsia="仿宋_GB2312" w:cs="仿宋_GB2312"/>
          <w:color w:val="000000"/>
          <w:spacing w:val="0"/>
          <w:sz w:val="32"/>
          <w:szCs w:val="32"/>
          <w:highlight w:val="none"/>
          <w:lang w:val="en-US" w:eastAsia="zh-CN"/>
        </w:rPr>
        <w:t>你公司</w:t>
      </w:r>
      <w:r>
        <w:rPr>
          <w:rFonts w:hint="eastAsia" w:ascii="仿宋_GB2312" w:hAnsi="仿宋_GB2312" w:eastAsia="仿宋_GB2312" w:cs="仿宋_GB2312"/>
          <w:color w:val="000000"/>
          <w:sz w:val="32"/>
          <w:szCs w:val="32"/>
          <w:highlight w:val="none"/>
          <w:lang w:val="en-US" w:eastAsia="zh-CN"/>
        </w:rPr>
        <w:t>严格按照《建设项目竣工环境保护验收暂行办法》有关规定，组织对配套建设的环境保护设施进行验收，并将相关信息向社会公开，同时将上述信息报送市生态环境局云县分局。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（六）</w:t>
      </w:r>
      <w:r>
        <w:rPr>
          <w:rFonts w:hint="default" w:ascii="Times New Roman" w:hAnsi="Times New Roman" w:eastAsia="仿宋_GB2312" w:cs="Times New Roman"/>
          <w:color w:val="auto"/>
          <w:spacing w:val="0"/>
          <w:sz w:val="32"/>
          <w:szCs w:val="32"/>
          <w:highlight w:val="none"/>
          <w:lang w:eastAsia="zh-CN"/>
        </w:rPr>
        <w:t>请你公司在启动生产设施或者发生实际排污行为之前依法申请取得排污许可证，未取得排污许可证前，不得排污。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eastAsia="仿宋_GB2312" w:cs="Times New Roman"/>
          <w:color w:val="000000"/>
          <w:sz w:val="32"/>
          <w:szCs w:val="32"/>
          <w:highlight w:val="none"/>
          <w:lang w:val="en-US" w:eastAsia="zh-CN"/>
        </w:rPr>
        <w:t>（七）请你公司在收到本批复20个工作日内将批准后的《报告表》及批复文件复印件分送市生态环境局云县分局，按规定接受生态环境部门监督检查。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w:t>
      </w:r>
      <w:r>
        <w:rPr>
          <w:rFonts w:hint="eastAsia" w:eastAsia="仿宋_GB2312" w:cs="Times New Roman"/>
          <w:color w:val="000000"/>
          <w:sz w:val="32"/>
          <w:szCs w:val="32"/>
          <w:highlight w:val="none"/>
          <w:lang w:val="en-US" w:eastAsia="zh-CN"/>
        </w:rPr>
        <w:t>八</w:t>
      </w:r>
      <w:r>
        <w:rPr>
          <w:rFonts w:hint="default" w:ascii="Times New Roman" w:hAnsi="Times New Roman" w:eastAsia="仿宋_GB2312" w:cs="Times New Roman"/>
          <w:color w:val="000000"/>
          <w:sz w:val="32"/>
          <w:szCs w:val="32"/>
          <w:highlight w:val="none"/>
          <w:lang w:val="en-US" w:eastAsia="zh-CN"/>
        </w:rPr>
        <w:t>）市生态环境保护综合行政执法支队、</w:t>
      </w:r>
      <w:r>
        <w:rPr>
          <w:rFonts w:hint="eastAsia" w:eastAsia="仿宋_GB2312" w:cs="Times New Roman"/>
          <w:color w:val="000000"/>
          <w:sz w:val="32"/>
          <w:szCs w:val="32"/>
          <w:highlight w:val="none"/>
          <w:lang w:val="en-US" w:eastAsia="zh-CN"/>
        </w:rPr>
        <w:t>水生态环境科、大气生态环境科</w:t>
      </w:r>
      <w:r>
        <w:rPr>
          <w:rFonts w:hint="default" w:ascii="Times New Roman" w:hAnsi="Times New Roman" w:eastAsia="仿宋_GB2312" w:cs="Times New Roman"/>
          <w:color w:val="000000"/>
          <w:sz w:val="32"/>
          <w:szCs w:val="32"/>
          <w:highlight w:val="none"/>
          <w:lang w:val="en-US" w:eastAsia="zh-CN"/>
        </w:rPr>
        <w:t>等要履行事中事后监管职责，</w:t>
      </w:r>
      <w:r>
        <w:rPr>
          <w:rFonts w:hint="eastAsia" w:eastAsia="仿宋_GB2312" w:cs="Times New Roman"/>
          <w:color w:val="000000"/>
          <w:sz w:val="32"/>
          <w:szCs w:val="32"/>
          <w:highlight w:val="none"/>
          <w:lang w:val="en-US" w:eastAsia="zh-CN"/>
        </w:rPr>
        <w:t>云县分局</w:t>
      </w:r>
      <w:r>
        <w:rPr>
          <w:rFonts w:hint="default" w:ascii="Times New Roman" w:hAnsi="Times New Roman" w:eastAsia="仿宋_GB2312" w:cs="Times New Roman"/>
          <w:color w:val="000000"/>
          <w:sz w:val="32"/>
          <w:szCs w:val="32"/>
          <w:highlight w:val="none"/>
          <w:lang w:val="en-US" w:eastAsia="zh-CN"/>
        </w:rPr>
        <w:t>要履行属地监管职责，严格按照相关法律法规加大现场执法监督力度，全面加强建设项目“三同时”、自主验收监管、日常运行等环境监管执法工作，确保《</w:t>
      </w:r>
      <w:r>
        <w:rPr>
          <w:rFonts w:hint="eastAsia" w:eastAsia="仿宋_GB2312" w:cs="Times New Roman"/>
          <w:color w:val="000000"/>
          <w:sz w:val="32"/>
          <w:szCs w:val="32"/>
          <w:highlight w:val="none"/>
          <w:lang w:val="en-US" w:eastAsia="zh-CN"/>
        </w:rPr>
        <w:t>报告表</w:t>
      </w:r>
      <w:r>
        <w:rPr>
          <w:rFonts w:hint="default" w:ascii="Times New Roman" w:hAnsi="Times New Roman" w:eastAsia="仿宋_GB2312" w:cs="Times New Roman"/>
          <w:color w:val="000000"/>
          <w:sz w:val="32"/>
          <w:szCs w:val="32"/>
          <w:highlight w:val="none"/>
          <w:lang w:val="en-US" w:eastAsia="zh-CN"/>
        </w:rPr>
        <w:t>》及批复文件各项要求落实到位。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120" w:firstLineChars="1600"/>
        <w:jc w:val="both"/>
        <w:textAlignment w:val="auto"/>
        <w:outlineLvl w:val="9"/>
        <w:rPr>
          <w:rFonts w:hint="eastAsia" w:ascii="仿宋_GB2312" w:hAnsi="仿宋_GB2312" w:eastAsia="仿宋_GB2312" w:cs="仿宋_GB2312"/>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120" w:firstLineChars="1600"/>
        <w:jc w:val="both"/>
        <w:textAlignment w:val="auto"/>
        <w:outlineLvl w:val="9"/>
        <w:rPr>
          <w:rFonts w:hint="eastAsia" w:ascii="仿宋_GB2312" w:hAnsi="仿宋_GB2312" w:eastAsia="仿宋_GB2312" w:cs="仿宋_GB2312"/>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120" w:firstLineChars="160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临沧市生态环境局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120" w:firstLineChars="160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202</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lang w:val="en-US" w:eastAsia="zh-CN"/>
        </w:rPr>
        <w:t>11</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lang w:val="en-US" w:eastAsia="zh-CN"/>
        </w:rPr>
        <w:t>20</w:t>
      </w:r>
      <w:r>
        <w:rPr>
          <w:rFonts w:hint="eastAsia" w:ascii="仿宋_GB2312" w:hAnsi="仿宋_GB2312" w:eastAsia="仿宋_GB2312" w:cs="仿宋_GB2312"/>
          <w:color w:val="000000"/>
          <w:sz w:val="32"/>
          <w:szCs w:val="32"/>
          <w:highlight w:val="none"/>
        </w:rPr>
        <w:t>日</w:t>
      </w:r>
    </w:p>
    <w:p>
      <w:pPr>
        <w:pStyle w:val="2"/>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color w:val="000000"/>
          <w:kern w:val="2"/>
          <w:sz w:val="24"/>
          <w:szCs w:val="24"/>
          <w:highlight w:val="none"/>
          <w:lang w:val="en-US" w:eastAsia="zh-CN" w:bidi="ar-SA"/>
        </w:rPr>
      </w:pPr>
    </w:p>
    <w:p>
      <w:pPr>
        <w:pStyle w:val="2"/>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color w:val="00000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color w:val="000000"/>
          <w:highlight w:val="none"/>
        </w:rPr>
      </w:pP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color w:val="000000"/>
          <w:highlight w:val="none"/>
        </w:rPr>
      </w:pP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color w:val="000000"/>
          <w:highlight w:val="none"/>
        </w:rPr>
      </w:pP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color w:val="000000"/>
          <w:highlight w:val="none"/>
        </w:rPr>
      </w:pP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color w:val="000000"/>
          <w:highlight w:val="none"/>
        </w:rPr>
      </w:pP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textAlignment w:val="auto"/>
        <w:outlineLvl w:val="9"/>
        <w:rPr>
          <w:color w:val="000000"/>
          <w:highlight w:val="none"/>
        </w:rPr>
      </w:pP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color w:val="000000"/>
          <w:highlight w:val="none"/>
        </w:rPr>
      </w:pP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color w:val="000000"/>
          <w:highlight w:val="none"/>
        </w:rPr>
      </w:pP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color w:val="000000"/>
          <w:highlight w:val="none"/>
        </w:rPr>
      </w:pP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textAlignment w:val="auto"/>
        <w:outlineLvl w:val="9"/>
        <w:rPr>
          <w:color w:val="000000"/>
          <w:highlight w:val="none"/>
        </w:rPr>
      </w:pPr>
    </w:p>
    <w:p>
      <w:pPr>
        <w:ind w:left="0" w:leftChars="0" w:firstLine="0" w:firstLineChars="0"/>
        <w:rPr>
          <w:color w:val="000000"/>
          <w:highlight w:val="none"/>
        </w:rPr>
      </w:pPr>
    </w:p>
    <w:p>
      <w:pPr>
        <w:ind w:left="0" w:leftChars="0" w:firstLine="0" w:firstLineChars="0"/>
        <w:rPr>
          <w:color w:val="000000"/>
          <w:highlight w:val="none"/>
        </w:rPr>
      </w:pPr>
    </w:p>
    <w:p>
      <w:pPr>
        <w:ind w:left="0" w:leftChars="0" w:firstLine="0" w:firstLineChars="0"/>
        <w:rPr>
          <w:color w:val="000000"/>
          <w:highlight w:val="none"/>
        </w:rPr>
      </w:pPr>
    </w:p>
    <w:p>
      <w:pPr>
        <w:ind w:left="0" w:leftChars="0" w:firstLine="0" w:firstLineChars="0"/>
        <w:rPr>
          <w:color w:val="000000"/>
          <w:highlight w:val="none"/>
        </w:rPr>
      </w:pPr>
    </w:p>
    <w:p>
      <w:pPr>
        <w:ind w:left="0" w:leftChars="0" w:firstLine="0" w:firstLineChars="0"/>
        <w:rPr>
          <w:color w:val="000000"/>
          <w:highlight w:val="none"/>
        </w:rPr>
      </w:pPr>
    </w:p>
    <w:p>
      <w:pPr>
        <w:ind w:left="0" w:leftChars="0" w:firstLine="0" w:firstLineChars="0"/>
        <w:rPr>
          <w:color w:val="000000"/>
          <w:highlight w:val="none"/>
        </w:rPr>
      </w:pPr>
    </w:p>
    <w:p>
      <w:pPr>
        <w:ind w:left="0" w:leftChars="0" w:firstLine="0" w:firstLineChars="0"/>
      </w:pPr>
    </w:p>
    <w:tbl>
      <w:tblPr>
        <w:tblStyle w:val="8"/>
        <w:tblpPr w:leftFromText="180" w:rightFromText="180" w:vertAnchor="text" w:horzAnchor="page" w:tblpX="1439" w:tblpY="3885"/>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7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173" w:type="dxa"/>
            <w:tcBorders>
              <w:top w:val="single" w:color="auto" w:sz="4" w:space="0"/>
              <w:left w:val="nil"/>
              <w:bottom w:val="single" w:color="auto" w:sz="4" w:space="0"/>
              <w:right w:val="nil"/>
            </w:tcBorders>
            <w:noWrap w:val="0"/>
            <w:vAlign w:val="top"/>
          </w:tcPr>
          <w:p>
            <w:pPr>
              <w:spacing w:line="560" w:lineRule="exact"/>
              <w:ind w:left="0" w:leftChars="0" w:firstLine="0" w:firstLineChars="0"/>
              <w:rPr>
                <w:rFonts w:hint="eastAsia"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rPr>
              <w:t>抄送：</w:t>
            </w:r>
            <w:r>
              <w:rPr>
                <w:rFonts w:hint="eastAsia" w:ascii="仿宋_GB2312" w:hAnsi="仿宋_GB2312" w:eastAsia="仿宋_GB2312" w:cs="仿宋_GB2312"/>
                <w:color w:val="000000"/>
                <w:kern w:val="0"/>
                <w:sz w:val="28"/>
                <w:szCs w:val="28"/>
                <w:highlight w:val="none"/>
                <w:lang w:eastAsia="zh-CN"/>
              </w:rPr>
              <w:t>市市场监督管理局，</w:t>
            </w:r>
            <w:r>
              <w:rPr>
                <w:rFonts w:hint="eastAsia" w:ascii="仿宋_GB2312" w:hAnsi="仿宋_GB2312" w:eastAsia="仿宋_GB2312" w:cs="仿宋_GB2312"/>
                <w:color w:val="000000"/>
                <w:kern w:val="0"/>
                <w:sz w:val="28"/>
                <w:szCs w:val="28"/>
                <w:highlight w:val="none"/>
              </w:rPr>
              <w:t>市生态环境局</w:t>
            </w:r>
            <w:r>
              <w:rPr>
                <w:rFonts w:hint="eastAsia" w:ascii="仿宋_GB2312" w:hAnsi="仿宋_GB2312" w:eastAsia="仿宋_GB2312" w:cs="仿宋_GB2312"/>
                <w:color w:val="000000"/>
                <w:kern w:val="0"/>
                <w:sz w:val="28"/>
                <w:szCs w:val="28"/>
                <w:highlight w:val="none"/>
                <w:lang w:val="en-US" w:eastAsia="zh-CN"/>
              </w:rPr>
              <w:t>各科、室、支队、中心、站、</w:t>
            </w:r>
          </w:p>
          <w:p>
            <w:pPr>
              <w:spacing w:line="560" w:lineRule="exact"/>
              <w:ind w:left="0" w:leftChars="0" w:firstLine="840" w:firstLineChars="300"/>
              <w:rPr>
                <w:rFonts w:hint="eastAsia" w:ascii="仿宋_GB2312" w:hAnsi="仿宋_GB2312" w:eastAsia="仿宋_GB2312" w:cs="仿宋_GB2312"/>
                <w:color w:val="000000"/>
                <w:kern w:val="2"/>
                <w:sz w:val="21"/>
                <w:highlight w:val="none"/>
                <w:lang w:val="en-US" w:eastAsia="zh-CN"/>
              </w:rPr>
            </w:pPr>
            <w:bookmarkStart w:id="0" w:name="_GoBack"/>
            <w:bookmarkEnd w:id="0"/>
            <w:r>
              <w:rPr>
                <w:rFonts w:hint="eastAsia" w:ascii="仿宋_GB2312" w:hAnsi="仿宋_GB2312" w:eastAsia="仿宋_GB2312" w:cs="仿宋_GB2312"/>
                <w:color w:val="000000"/>
                <w:kern w:val="0"/>
                <w:sz w:val="28"/>
                <w:szCs w:val="28"/>
                <w:highlight w:val="none"/>
                <w:lang w:val="en-US" w:eastAsia="zh-CN"/>
              </w:rPr>
              <w:t>云县分局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173" w:type="dxa"/>
            <w:tcBorders>
              <w:top w:val="single" w:color="auto" w:sz="4" w:space="0"/>
              <w:left w:val="nil"/>
              <w:bottom w:val="single" w:color="auto" w:sz="4" w:space="0"/>
              <w:right w:val="nil"/>
            </w:tcBorders>
            <w:noWrap w:val="0"/>
            <w:vAlign w:val="top"/>
          </w:tcPr>
          <w:p>
            <w:pPr>
              <w:spacing w:line="560" w:lineRule="exact"/>
              <w:ind w:left="0" w:leftChars="0" w:firstLine="0" w:firstLineChars="0"/>
              <w:rPr>
                <w:rFonts w:hint="eastAsia" w:ascii="仿宋_GB2312" w:hAnsi="仿宋_GB2312" w:eastAsia="仿宋_GB2312" w:cs="仿宋_GB2312"/>
                <w:color w:val="000000"/>
                <w:kern w:val="2"/>
                <w:sz w:val="21"/>
                <w:lang w:eastAsia="zh-CN"/>
              </w:rPr>
            </w:pPr>
            <w:r>
              <w:rPr>
                <w:rFonts w:hint="eastAsia" w:ascii="仿宋_GB2312" w:hAnsi="仿宋_GB2312" w:eastAsia="仿宋_GB2312" w:cs="仿宋_GB2312"/>
                <w:color w:val="000000"/>
                <w:kern w:val="0"/>
                <w:sz w:val="28"/>
                <w:szCs w:val="28"/>
              </w:rPr>
              <w:t xml:space="preserve">临沧市生态环境局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202</w:t>
            </w:r>
            <w:r>
              <w:rPr>
                <w:rFonts w:hint="eastAsia" w:ascii="仿宋_GB2312" w:hAnsi="仿宋_GB2312" w:eastAsia="仿宋_GB2312" w:cs="仿宋_GB2312"/>
                <w:color w:val="000000"/>
                <w:kern w:val="0"/>
                <w:sz w:val="28"/>
                <w:szCs w:val="28"/>
                <w:lang w:val="en-US" w:eastAsia="zh-CN"/>
              </w:rPr>
              <w:t>4</w:t>
            </w:r>
            <w:r>
              <w:rPr>
                <w:rFonts w:hint="eastAsia" w:ascii="仿宋_GB2312" w:hAnsi="仿宋_GB2312" w:eastAsia="仿宋_GB2312" w:cs="仿宋_GB2312"/>
                <w:color w:val="000000"/>
                <w:kern w:val="0"/>
                <w:sz w:val="28"/>
                <w:szCs w:val="28"/>
              </w:rPr>
              <w:t>年</w:t>
            </w:r>
            <w:r>
              <w:rPr>
                <w:rFonts w:hint="eastAsia" w:ascii="仿宋_GB2312" w:hAnsi="仿宋_GB2312" w:eastAsia="仿宋_GB2312" w:cs="仿宋_GB2312"/>
                <w:color w:val="000000"/>
                <w:kern w:val="0"/>
                <w:sz w:val="28"/>
                <w:szCs w:val="28"/>
                <w:lang w:val="en-US" w:eastAsia="zh-CN"/>
              </w:rPr>
              <w:t>11</w:t>
            </w:r>
            <w:r>
              <w:rPr>
                <w:rFonts w:hint="eastAsia" w:ascii="仿宋_GB2312" w:hAnsi="仿宋_GB2312" w:eastAsia="仿宋_GB2312" w:cs="仿宋_GB2312"/>
                <w:color w:val="000000"/>
                <w:kern w:val="0"/>
                <w:sz w:val="28"/>
                <w:szCs w:val="28"/>
              </w:rPr>
              <w:t>月</w:t>
            </w:r>
            <w:r>
              <w:rPr>
                <w:rFonts w:hint="eastAsia" w:ascii="仿宋_GB2312" w:hAnsi="仿宋_GB2312" w:eastAsia="仿宋_GB2312" w:cs="仿宋_GB2312"/>
                <w:color w:val="000000"/>
                <w:kern w:val="0"/>
                <w:sz w:val="28"/>
                <w:szCs w:val="28"/>
                <w:lang w:val="en-US" w:eastAsia="zh-CN"/>
              </w:rPr>
              <w:t>20</w:t>
            </w:r>
            <w:r>
              <w:rPr>
                <w:rFonts w:hint="eastAsia" w:ascii="仿宋_GB2312" w:hAnsi="仿宋_GB2312" w:eastAsia="仿宋_GB2312" w:cs="仿宋_GB2312"/>
                <w:color w:val="000000"/>
                <w:kern w:val="0"/>
                <w:sz w:val="28"/>
                <w:szCs w:val="28"/>
              </w:rPr>
              <w:t>日印</w:t>
            </w:r>
            <w:r>
              <w:rPr>
                <w:rFonts w:hint="eastAsia" w:ascii="仿宋_GB2312" w:hAnsi="仿宋_GB2312" w:eastAsia="仿宋_GB2312" w:cs="仿宋_GB2312"/>
                <w:color w:val="000000"/>
                <w:kern w:val="0"/>
                <w:sz w:val="28"/>
                <w:szCs w:val="28"/>
                <w:lang w:eastAsia="zh-CN"/>
              </w:rPr>
              <w:t>制</w:t>
            </w:r>
          </w:p>
        </w:tc>
      </w:tr>
    </w:tbl>
    <w:p/>
    <w:sectPr>
      <w:footerReference r:id="rId5" w:type="default"/>
      <w:pgSz w:w="11906" w:h="16838"/>
      <w:pgMar w:top="2098" w:right="1417" w:bottom="1984" w:left="1531"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roman"/>
    <w:pitch w:val="default"/>
    <w:sig w:usb0="00000000" w:usb1="00000000" w:usb2="00000009"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a:effectLst/>
                    </wps:spPr>
                    <wps:txbx>
                      <w:txbxContent>
                        <w:p>
                          <w:pPr>
                            <w:pStyle w:val="5"/>
                            <w:ind w:left="0" w:leftChars="0" w:firstLine="0" w:firstLineChars="0"/>
                            <w:rPr>
                              <w:sz w:val="28"/>
                              <w:szCs w:val="44"/>
                            </w:rPr>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OqXm5zwAA&#10;AAUBAAAPAAAAAAAAAAEAIAAAADgAAABkcnMvZG93bnJldi54bWxQSwECFAAUAAAACACHTuJAY2xW&#10;edgBAACSAwAADgAAAAAAAAABACAAAAA0AQAAZHJzL2Uyb0RvYy54bWxQSwUGAAAAAAYABgBZAQAA&#10;fgUAAAAA&#10;">
              <v:fill on="f" focussize="0,0"/>
              <v:stroke on="f"/>
              <v:imagedata o:title=""/>
              <o:lock v:ext="edit" aspectratio="f"/>
              <v:textbox inset="0mm,0mm,0mm,0mm" style="mso-fit-shape-to-text:t;">
                <w:txbxContent>
                  <w:p>
                    <w:pPr>
                      <w:pStyle w:val="5"/>
                      <w:ind w:left="0" w:leftChars="0" w:firstLine="0" w:firstLineChars="0"/>
                      <w:rPr>
                        <w:sz w:val="28"/>
                        <w:szCs w:val="44"/>
                      </w:rPr>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4ZmMyZDM3YmM1NWEwYmRjMjY3ZTQ0ZTZjOWEwMzkifQ=="/>
  </w:docVars>
  <w:rsids>
    <w:rsidRoot w:val="04A97E04"/>
    <w:rsid w:val="037B54CB"/>
    <w:rsid w:val="04A97E04"/>
    <w:rsid w:val="08DD3C99"/>
    <w:rsid w:val="17085605"/>
    <w:rsid w:val="1B235628"/>
    <w:rsid w:val="1CAF251B"/>
    <w:rsid w:val="1DBC2A58"/>
    <w:rsid w:val="241D144D"/>
    <w:rsid w:val="251C1370"/>
    <w:rsid w:val="25E64A16"/>
    <w:rsid w:val="2EDB37F3"/>
    <w:rsid w:val="35AA111A"/>
    <w:rsid w:val="444F6318"/>
    <w:rsid w:val="56A47F64"/>
    <w:rsid w:val="62850A05"/>
    <w:rsid w:val="665E6BCC"/>
    <w:rsid w:val="77785510"/>
    <w:rsid w:val="78EB75F0"/>
    <w:rsid w:val="7A4F7C28"/>
    <w:rsid w:val="7B4968A6"/>
    <w:rsid w:val="BF5F1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rPr>
  </w:style>
  <w:style w:type="paragraph" w:styleId="3">
    <w:name w:val="toc 1"/>
    <w:basedOn w:val="1"/>
    <w:next w:val="1"/>
    <w:qFormat/>
    <w:uiPriority w:val="0"/>
  </w:style>
  <w:style w:type="paragraph" w:styleId="4">
    <w:name w:val="Body Text"/>
    <w:basedOn w:val="1"/>
    <w:next w:val="1"/>
    <w:qFormat/>
    <w:uiPriority w:val="0"/>
    <w:pPr>
      <w:widowControl/>
      <w:snapToGrid w:val="0"/>
      <w:spacing w:before="60" w:after="160" w:line="259" w:lineRule="auto"/>
      <w:ind w:right="113"/>
    </w:pPr>
    <w:rPr>
      <w:kern w:val="0"/>
      <w:sz w:val="18"/>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临沧市直属党政机关单位</Company>
  <Pages>4</Pages>
  <Words>1132</Words>
  <Characters>1181</Characters>
  <Lines>0</Lines>
  <Paragraphs>0</Paragraphs>
  <TotalTime>23</TotalTime>
  <ScaleCrop>false</ScaleCrop>
  <LinksUpToDate>false</LinksUpToDate>
  <CharactersWithSpaces>1211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2024-09-05T17:21:00Z</dcterms:created>
  <dc:creator>子非鱼</dc:creator>
  <cp:lastModifiedBy>kylin</cp:lastModifiedBy>
  <dcterms:modified xsi:type="dcterms:W3CDTF">2024-11-20T15:47:18Z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099BC7A0010440CEA5AAC0735B7630D9_13</vt:lpwstr>
  </property>
</Properties>
</file>