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hAnsi="仿宋_GB2312" w:eastAsia="仿宋_GB2312" w:cs="仿宋_GB2312"/>
          <w:sz w:val="32"/>
          <w:szCs w:val="32"/>
        </w:rPr>
      </w:pPr>
    </w:p>
    <w:p>
      <w:pPr>
        <w:spacing w:line="600" w:lineRule="exact"/>
        <w:ind w:firstLine="880" w:firstLineChars="200"/>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建设工程规划许可（设区的市级权限）</w:t>
      </w:r>
    </w:p>
    <w:p>
      <w:pPr>
        <w:spacing w:line="600" w:lineRule="exact"/>
        <w:ind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【000115133003】</w:t>
      </w:r>
    </w:p>
    <w:p>
      <w:pPr>
        <w:spacing w:line="600" w:lineRule="exact"/>
        <w:ind w:firstLine="640" w:firstLineChars="200"/>
        <w:jc w:val="center"/>
        <w:rPr>
          <w:rFonts w:ascii="仿宋_GB2312" w:hAnsi="仿宋_GB2312" w:eastAsia="仿宋_GB2312" w:cs="仿宋_GB2312"/>
          <w:sz w:val="32"/>
          <w:szCs w:val="32"/>
        </w:rPr>
      </w:pP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一、基本要素</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建设工程、临时建设工程规划许可【00011513300Y】</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建设工程规划许可（市级权限）【000115133003】</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3.行政许可事项业务办理项名称及编码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（1）建设工程规划许可办理(00011513300301)</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（2）建设工程规划许可变更(00011513300302)</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（3）建设工程规划许可延期(00011513300303)</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（4）建设工程规划许可注销(00011513300304)</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（2）《中华人民共和国土地管理法》第十八条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（3）《中华人民共和国土地管理法实施条例》第二条</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（2）《中华人民共和国土地管理法》第十八条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（3）《中华人民共和国土地管理法实施条例》第二条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（4）《中华人民共和国长江保护法》第二十条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（5）《中华人民共和国黄河保护法》第二十五条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（6）《中共中央 国务院关于建立国土空间规划体系并监督实施的若干意见》</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（1）《中华人民共和国城乡规划法》第五十一条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（2）《中华人民共和国城乡规划法》第五十三条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（3）《中华人民共和国城乡规划法》第六十四条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rPr>
        <w:t>市级自然资源部门</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市级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市级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市级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无对应政务服务事项</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15.要素统一情况：</w:t>
      </w:r>
      <w:r>
        <w:rPr>
          <w:rFonts w:hint="eastAsia" w:ascii="仿宋_GB2312" w:hAnsi="仿宋_GB2312" w:eastAsia="仿宋_GB2312" w:cs="仿宋_GB2312"/>
          <w:sz w:val="32"/>
          <w:szCs w:val="32"/>
        </w:rPr>
        <w:t>全省要素统一</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二、行政许可事项类型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三、行政许可条件</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拟建设项目经有关部门批准、核准、备案；（2）取得使用土地的有关证明文件；（3）建设工程设计方案应符合国土空间详细规划（控制性详细规划）、规划条件，符合当地城市空间形态和风貌管理的相关要求；（4）建设工程设计方案经自然资源主管部门审定，需要编制修建性详细规划的，还应提交修建性详细规划。</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《中华人民共和国城乡规划法》第四十条  在城市、镇规划区内进行建筑物、构筑物、道路、管线和其他工程建设的，建设单位或者个人应当向城市、县人民政府城乡规划主管部门或者省、自治区、直辖市人民政府确定的镇人民政府申请办理建设工程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城市、县人民政府城乡规划主管部门或者省、自治区、直辖市人民政府确定的镇人民政府应当依法将经审定的修建性详细规划、建设工程设计方案的总平面图予以公布。</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四、行政许可服务对象类型与改革举措</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自然人,企业法人,事业单位法人,社会组织法人,非法人企业,行政机关,其他组织</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6.具体改革举措：</w:t>
      </w:r>
      <w:r>
        <w:rPr>
          <w:rFonts w:hint="eastAsia" w:ascii="仿宋_GB2312" w:hAnsi="仿宋_GB2312" w:eastAsia="仿宋_GB2312" w:cs="仿宋_GB2312"/>
          <w:sz w:val="32"/>
          <w:szCs w:val="32"/>
        </w:rPr>
        <w:t>将承诺审批时限由20个工作日压缩至8个工作日。</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做好公开公示，自觉接受群众监督。核发建设工程规划许可证前，应将建设工程设计方案的总平面图予以批前公示。经依法审定的建设工程设计方案的总平面图不得随意修改，确需修改的，应当采取听证会等形式，听取利害关系人的意见。地方自然资源主管部门应明确公示、听证要求，保障群众知情权，切实维护利害关系人利益。按照《自然资源领域基层政务公开标准指引》规定，作出许可决定7个工作日内，将建设工程规划许可证通过适当方式向社会公开。</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依法严格开展规划核实。进一步规范核实标准，自然资源主管部门依据建设单位提交的规划竣工实测报告，严格核实项目建设是否符合规划条件、建设工程规划许可要求，明确规划验收意见。推动自然资源主管部门负责的规划核实、土地核验、不动产测绘等合并为一个验收事项。</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工程规划许可相关数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五、申请材料</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建设工程规划许可证申请表；（2）建设项目批准、核准、备案文件；（3）使用土地的有关证明文件，地方结合实际确定，可以是不动产权属证书、建设用地规划许可证、国有建设用地划拨决定书、国有建设用地使用权出让合同或有关部门出具的使用土地证明文件等；（4）建设工程设计方案；（5）依照规定需要编制修建性详细规划的，应当提交修建性详细规划。</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《中华人民共和国城乡规划法》第四十条  在城市、镇规划区内进行建筑物、构筑物、道路、管线和其他工程建设的，建设单位或者个人应当向城市、县人民政府城乡规划主管部门或者省、自治区、直辖市人民政府确定的镇人民政府申请办理建设工程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城市、县人民政府城乡规划主管部门或者省、自治区、直辖市人民政府确定的镇人民政府应当依法将经审定的修建性详细规划、建设工程设计方案的总平面图予以公布。</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六、中介服务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七、审批程序</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（1）申请人申请。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（2）审批机构受理/不予受理。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（3）审批机构审查。涉及需进行现场勘验、专家评审、听证、委托服务机构开展技术性服务的，按有关规定组织实施。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（4）决定核发许可证/不予核发许可证。</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2.规定行政许可程序的依据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部分情况下开展</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八、受理和审批时限</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8个工作日</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依法进行听证、专家评审等另需时间不计算在该时限内</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九、收费</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b/>
          <w:bCs/>
          <w:color w:val="FF0000"/>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十、行政许可证件</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证照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建设工程规划许可证</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1年</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4.规定审批结果有效期限的依据</w:t>
      </w:r>
      <w:r>
        <w:rPr>
          <w:rFonts w:ascii="仿宋_GB2312" w:hAnsi="仿宋_GB2312" w:eastAsia="仿宋_GB2312" w:cs="仿宋_GB2312"/>
          <w:b/>
          <w:bCs/>
          <w:sz w:val="32"/>
          <w:szCs w:val="32"/>
          <w:lang w:val="en"/>
        </w:rPr>
        <w:t>:</w:t>
      </w:r>
      <w:r>
        <w:rPr>
          <w:rFonts w:hint="eastAsia" w:ascii="仿宋_GB2312" w:hAnsi="仿宋_GB2312" w:eastAsia="仿宋_GB2312" w:cs="仿宋_GB2312"/>
          <w:sz w:val="32"/>
          <w:szCs w:val="32"/>
        </w:rPr>
        <w:t>《云南省城乡规划条例》</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确需延长的，应当在期限届满之日的30日前，向发证的城乡规划主管部门申请办理延续手续。</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sz w:val="32"/>
          <w:szCs w:val="32"/>
        </w:rPr>
        <w:t>全国</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《中华人民共和国行政许可法》第四十一条  法律、行政法规设定的行政许可，其适用范围没有地域限制的，申请人取得的行政许可在全国范围内有效。</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十一、行政许可数量限制</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十二、行政许可后年检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十三、行政许可后年报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十四、监管主体</w:t>
      </w:r>
    </w:p>
    <w:p>
      <w:pPr>
        <w:spacing w:line="600" w:lineRule="exact"/>
        <w:ind w:firstLine="640" w:firstLineChars="200"/>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市级自然资源主管部门</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十五、备注</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1.地方自然资源主管部门自行制定完善规划核实、放线验线等管理规程。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支持地方在已有探索成果基础上，巩固深化用地审批与规划许可融合管理成果。深化“带方案出让”土地制度，合理确定适用项目类型，在取得土地使用权后，可直接核发建设工程规划许可证；对于符合条件的建设项目，可“一次申请、合并办理”建设用地规划许可证和建设工程规划许可证；推行告知承诺制，通过“事前承诺、事后监管”，进一步提升审批效率；可结合地方管理实际制定免于许可或豁免许可清单。</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3.审批程序中的“向社会公示”特指批前公示。</w:t>
      </w:r>
    </w:p>
    <w:p>
      <w:pPr>
        <w:spacing w:line="600" w:lineRule="exact"/>
        <w:ind w:firstLine="640" w:firstLineChars="200"/>
        <w:rPr>
          <w:rFonts w:ascii="仿宋_GB2312" w:hAnsi="仿宋_GB2312" w:eastAsia="仿宋_GB2312" w:cs="仿宋_GB2312"/>
          <w:sz w:val="32"/>
          <w:szCs w:val="3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4A1947CF"/>
    <w:rsid w:val="006E060B"/>
    <w:rsid w:val="00A6246D"/>
    <w:rsid w:val="00B11814"/>
    <w:rsid w:val="05AA6A7F"/>
    <w:rsid w:val="081A7B0C"/>
    <w:rsid w:val="0AAA46E2"/>
    <w:rsid w:val="25F44087"/>
    <w:rsid w:val="2EEE7B39"/>
    <w:rsid w:val="4A1947CF"/>
    <w:rsid w:val="4BF43EA0"/>
    <w:rsid w:val="4E874C65"/>
    <w:rsid w:val="4EEE6D18"/>
    <w:rsid w:val="51A73F45"/>
    <w:rsid w:val="52897212"/>
    <w:rsid w:val="59D93429"/>
    <w:rsid w:val="5F270F53"/>
    <w:rsid w:val="60877EE0"/>
    <w:rsid w:val="E73B89EF"/>
    <w:rsid w:val="ECEE58B3"/>
    <w:rsid w:val="F7B47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6"/>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4199</Words>
  <Characters>4386</Characters>
  <Lines>32</Lines>
  <Paragraphs>9</Paragraphs>
  <TotalTime>1</TotalTime>
  <ScaleCrop>false</ScaleCrop>
  <LinksUpToDate>false</LinksUpToDate>
  <CharactersWithSpaces>4395</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2018-07-11T23:11:00Z</dcterms:created>
  <dc:creator>d</dc:creator>
  <cp:lastModifiedBy>飘雪\\</cp:lastModifiedBy>
  <dcterms:modified xsi:type="dcterms:W3CDTF">2023-11-16T01:53:22Z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46DF794D95294E3E91A58C76C88B4BBF_12</vt:lpwstr>
  </property>
</Properties>
</file>