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临沧市生态环境局关于耿马傣族佤族自治县</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妇幼保健院建设项目</w:t>
      </w:r>
      <w:r>
        <w:rPr>
          <w:rFonts w:hint="eastAsia" w:ascii="方正小标宋_GBK" w:hAnsi="方正小标宋_GBK" w:eastAsia="方正小标宋_GBK" w:cs="方正小标宋_GBK"/>
          <w:b/>
          <w:bCs/>
          <w:color w:val="auto"/>
          <w:sz w:val="44"/>
          <w:szCs w:val="44"/>
          <w:lang w:val="en-US" w:eastAsia="zh-CN"/>
        </w:rPr>
        <w:t>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耿马傣族佤族自治县妇幼保健院：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lang w:eastAsia="zh-CN"/>
        </w:rPr>
        <w:t>你单位</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耿马傣族佤族自治县妇幼保健院建设项目环境影响报告表</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rPr>
        <w:t>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位于云南省临沧市耿马傣族佤族自治县耿马镇正街157号，项目地理位置中心坐标为东经99°</w:t>
      </w:r>
      <w:r>
        <w:rPr>
          <w:rFonts w:hint="eastAsia" w:ascii="仿宋_GB2312" w:hAnsi="仿宋_GB2312" w:eastAsia="仿宋_GB2312" w:cs="仿宋_GB2312"/>
          <w:color w:val="auto"/>
          <w:sz w:val="32"/>
          <w:szCs w:val="32"/>
          <w:lang w:val="en-US" w:eastAsia="zh-CN"/>
        </w:rPr>
        <w:t>24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16.227</w:t>
      </w:r>
      <w:r>
        <w:rPr>
          <w:rFonts w:hint="default" w:ascii="仿宋_GB2312" w:hAnsi="仿宋_GB2312" w:eastAsia="仿宋_GB2312" w:cs="仿宋_GB2312"/>
          <w:color w:val="auto"/>
          <w:sz w:val="32"/>
          <w:szCs w:val="32"/>
          <w:lang w:val="en-US" w:eastAsia="zh-CN"/>
        </w:rPr>
        <w:t>″，北纬23°</w:t>
      </w:r>
      <w:r>
        <w:rPr>
          <w:rFonts w:hint="eastAsia" w:ascii="仿宋_GB2312" w:hAnsi="仿宋_GB2312" w:eastAsia="仿宋_GB2312" w:cs="仿宋_GB2312"/>
          <w:color w:val="auto"/>
          <w:sz w:val="32"/>
          <w:szCs w:val="32"/>
          <w:lang w:val="en-US" w:eastAsia="zh-CN"/>
        </w:rPr>
        <w:t>32</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19.748</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占地面积约2108.7m²，总建筑面积约5718.6m²，</w:t>
      </w:r>
      <w:r>
        <w:rPr>
          <w:rFonts w:hint="eastAsia" w:ascii="仿宋_GB2312" w:hAnsi="仿宋_GB2312" w:eastAsia="仿宋_GB2312" w:cs="仿宋_GB2312"/>
          <w:color w:val="auto"/>
          <w:sz w:val="32"/>
          <w:szCs w:val="32"/>
          <w:lang w:val="en-US" w:eastAsia="zh-CN"/>
        </w:rPr>
        <w:t>项目建设内容为主体综合楼1号楼占地面积939.63m²，建筑面积4253.67m²，2号楼、3号楼和附属用房面积共1169.07m²，建筑面积1464.93m²；并配套建设公用工程和环保工程</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项目总投资为2017.9万元，环保投资估算总计为40.6万元，占项目总投资的2.01</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耿马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严格按照《建设项目竣工环境保护验收暂行办法》有关规定，组织对配套建设的环境保护设施进行验收，并将相关信息向社会公开，同时将上述信息报送市生态环境局耿马分局。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耿马分局</w:t>
      </w:r>
      <w:r>
        <w:rPr>
          <w:rFonts w:hint="eastAsia" w:ascii="仿宋_GB2312" w:hAnsi="仿宋_GB2312" w:eastAsia="仿宋_GB2312" w:cs="仿宋_GB2312"/>
          <w:color w:val="auto"/>
          <w:sz w:val="32"/>
          <w:szCs w:val="32"/>
        </w:rPr>
        <w:t>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
      <w:pPr>
        <w:pStyle w:val="2"/>
      </w:pPr>
    </w:p>
    <w:p/>
    <w:p>
      <w:pPr>
        <w:pStyle w:val="2"/>
        <w:ind w:left="0" w:leftChars="0" w:firstLine="0" w:firstLineChars="0"/>
      </w:pPr>
    </w:p>
    <w:p/>
    <w:p>
      <w:pPr>
        <w:pStyle w:val="2"/>
      </w:pPr>
    </w:p>
    <w:p/>
    <w:p>
      <w:pPr>
        <w:pStyle w:val="2"/>
      </w:pPr>
    </w:p>
    <w:p/>
    <w:p/>
    <w:p>
      <w:pPr>
        <w:ind w:left="0" w:leftChars="0" w:firstLine="0" w:firstLineChars="0"/>
      </w:pPr>
    </w:p>
    <w:tbl>
      <w:tblPr>
        <w:tblStyle w:val="8"/>
        <w:tblpPr w:leftFromText="180" w:rightFromText="180" w:vertAnchor="text" w:horzAnchor="page" w:tblpX="1540" w:tblpY="8543"/>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118" w:leftChars="116" w:right="0" w:rightChars="0" w:hanging="840" w:hangingChars="300"/>
              <w:jc w:val="both"/>
              <w:textAlignment w:val="auto"/>
              <w:outlineLvl w:val="9"/>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highlight w:val="none"/>
              </w:rPr>
              <w:t>抄送：</w:t>
            </w:r>
            <w:r>
              <w:rPr>
                <w:rFonts w:hint="eastAsia" w:ascii="仿宋_GB2312" w:hAnsi="仿宋_GB2312" w:eastAsia="仿宋_GB2312" w:cs="仿宋_GB2312"/>
                <w:color w:val="auto"/>
                <w:kern w:val="0"/>
                <w:sz w:val="28"/>
                <w:szCs w:val="28"/>
                <w:highlight w:val="none"/>
                <w:lang w:eastAsia="zh-CN"/>
              </w:rPr>
              <w:t>市卫生健康委，</w:t>
            </w:r>
            <w:r>
              <w:rPr>
                <w:rFonts w:hint="eastAsia" w:ascii="仿宋_GB2312" w:hAnsi="仿宋_GB2312" w:eastAsia="仿宋_GB2312" w:cs="仿宋_GB2312"/>
                <w:color w:val="auto"/>
                <w:kern w:val="0"/>
                <w:sz w:val="28"/>
                <w:szCs w:val="28"/>
                <w:highlight w:val="none"/>
              </w:rPr>
              <w:t>市生</w:t>
            </w:r>
            <w:r>
              <w:rPr>
                <w:rFonts w:hint="eastAsia" w:ascii="仿宋_GB2312" w:hAnsi="仿宋_GB2312" w:eastAsia="仿宋_GB2312" w:cs="仿宋_GB2312"/>
                <w:color w:val="auto"/>
                <w:kern w:val="0"/>
                <w:sz w:val="28"/>
                <w:szCs w:val="28"/>
              </w:rPr>
              <w:t>态环境局</w:t>
            </w:r>
            <w:r>
              <w:rPr>
                <w:rFonts w:hint="eastAsia" w:ascii="仿宋_GB2312" w:hAnsi="仿宋_GB2312" w:eastAsia="仿宋_GB2312" w:cs="仿宋_GB2312"/>
                <w:color w:val="auto"/>
                <w:kern w:val="0"/>
                <w:sz w:val="28"/>
                <w:szCs w:val="28"/>
                <w:lang w:val="en-US" w:eastAsia="zh-CN"/>
              </w:rPr>
              <w:t>各科、室、支队、中心、站、耿马分局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9" w:hRule="atLeast"/>
        </w:trPr>
        <w:tc>
          <w:tcPr>
            <w:tcW w:w="917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280" w:firstLineChars="100"/>
              <w:jc w:val="center"/>
              <w:textAlignment w:val="auto"/>
              <w:outlineLvl w:val="9"/>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18</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527F88-E4AE-4CEC-ACD6-B929570651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AA6C08E-C782-49DA-89F3-F1254A5EA932}"/>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6262DA6-4ADC-44C0-9EBF-8B060BD3E73C}"/>
  </w:font>
  <w:font w:name="方正小标宋_GBK">
    <w:panose1 w:val="02000000000000000000"/>
    <w:charset w:val="86"/>
    <w:family w:val="auto"/>
    <w:pitch w:val="default"/>
    <w:sig w:usb0="A00002BF" w:usb1="38CF7CFA" w:usb2="00082016" w:usb3="00000000" w:csb0="00040001" w:csb1="00000000"/>
    <w:embedRegular r:id="rId4" w:fontKey="{8E6852EE-08FD-4541-A188-22ED53916B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5EE6E49"/>
    <w:rsid w:val="064E5831"/>
    <w:rsid w:val="0D5B0F8B"/>
    <w:rsid w:val="0EB308D3"/>
    <w:rsid w:val="11E9006E"/>
    <w:rsid w:val="12F43457"/>
    <w:rsid w:val="1DD64BEF"/>
    <w:rsid w:val="1E495675"/>
    <w:rsid w:val="247D4575"/>
    <w:rsid w:val="25556412"/>
    <w:rsid w:val="27E47529"/>
    <w:rsid w:val="2B243120"/>
    <w:rsid w:val="2B7E174D"/>
    <w:rsid w:val="333149E1"/>
    <w:rsid w:val="395F137E"/>
    <w:rsid w:val="398B3419"/>
    <w:rsid w:val="3BFF7BF7"/>
    <w:rsid w:val="45833DC6"/>
    <w:rsid w:val="48DB4BE2"/>
    <w:rsid w:val="4A4B6EDA"/>
    <w:rsid w:val="50191ED3"/>
    <w:rsid w:val="501F4F53"/>
    <w:rsid w:val="54226B0B"/>
    <w:rsid w:val="562C2C6E"/>
    <w:rsid w:val="577B30F6"/>
    <w:rsid w:val="5A9D1A52"/>
    <w:rsid w:val="5FF14BEB"/>
    <w:rsid w:val="61696787"/>
    <w:rsid w:val="61FF7B53"/>
    <w:rsid w:val="63E224AA"/>
    <w:rsid w:val="63E6250C"/>
    <w:rsid w:val="65B95951"/>
    <w:rsid w:val="69BD4C2B"/>
    <w:rsid w:val="6F602C29"/>
    <w:rsid w:val="745C44FA"/>
    <w:rsid w:val="74FC6F56"/>
    <w:rsid w:val="79465A41"/>
    <w:rsid w:val="7B33020B"/>
    <w:rsid w:val="7B4175C0"/>
    <w:rsid w:val="7C0642CC"/>
    <w:rsid w:val="7CAF565B"/>
    <w:rsid w:val="7D530D04"/>
    <w:rsid w:val="7E44677B"/>
    <w:rsid w:val="7FE76D9F"/>
    <w:rsid w:val="BA7B23C6"/>
    <w:rsid w:val="F5DB25F1"/>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2024-03-12T06:49:07Z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40DFAA06739F4DDD80D1B6D785F4E40C_13</vt:lpwstr>
  </property>
</Properties>
</file>