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lang w:val="en-US" w:eastAsia="zh-CN"/>
        </w:rPr>
      </w:pPr>
      <w:r>
        <w:rPr>
          <w:rFonts w:hint="eastAsia" w:ascii="方正小标宋简体" w:hAnsi="方正小标宋简体" w:eastAsia="方正小标宋简体" w:cs="方正小标宋简体"/>
          <w:sz w:val="44"/>
          <w:szCs w:val="44"/>
          <w:lang w:val="en-US" w:eastAsia="zh-CN"/>
        </w:rPr>
        <w:t>2019年预算绩效工作开展情况</w:t>
      </w:r>
    </w:p>
    <w:p>
      <w:pPr>
        <w:numPr>
          <w:ilvl w:val="0"/>
          <w:numId w:val="0"/>
        </w:numPr>
        <w:ind w:firstLine="640"/>
        <w:rPr>
          <w:rFonts w:hint="eastAsia" w:ascii="Times New Roman" w:hAnsi="Times New Roman" w:eastAsia="仿宋_GB2312" w:cs="Times New Roman"/>
          <w:sz w:val="32"/>
          <w:szCs w:val="32"/>
          <w:lang w:val="en-US" w:eastAsia="zh-CN"/>
        </w:rPr>
      </w:pPr>
    </w:p>
    <w:p>
      <w:pPr>
        <w:numPr>
          <w:ilvl w:val="0"/>
          <w:numId w:val="0"/>
        </w:numPr>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2019年，临沧工业园区坚持结果和问题导向，以创新为动力，积极推进实施预算绩效管理，呈现预算绩效管理提质扩面增效的良好局面，在预算绩效管理工作中取得一些新进展。</w:t>
      </w:r>
    </w:p>
    <w:p>
      <w:pPr>
        <w:numPr>
          <w:ilvl w:val="0"/>
          <w:numId w:val="0"/>
        </w:num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一、开展预算绩效管理工作基本情况</w:t>
      </w:r>
    </w:p>
    <w:p>
      <w:pPr>
        <w:numPr>
          <w:ilvl w:val="0"/>
          <w:numId w:val="0"/>
        </w:numPr>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推进绩效预算与部门预算的有机结合，预算编制与绩效目标同步启动、同步审核、同步下达。预算编制范围覆盖一般公共预算、政府性基金预算和国有资本经营预算。在编制2019年部门预算时，共填报105个项目绩效目标，金额为33562万元。二是开展园区管委会机关2018年项目支出绩效自评，项目个数36个，金额378万元，完成园区管委会机关2018年部门整体支出绩效自评，并按照要求将项目支出绩效自评和部门整体支出绩效自评情况与部门决算一并公开。三是园区分配下达上级专款时，一并下达绩效目标，要求项目具体实施单位做好绩效监控，确保年度绩效目标如期实现。同时，园区主管部门及财政分局积极配合上级主管部门做好项目绩效评价相关工作。</w:t>
      </w:r>
    </w:p>
    <w:p>
      <w:pPr>
        <w:numPr>
          <w:ilvl w:val="0"/>
          <w:numId w:val="0"/>
        </w:numPr>
        <w:ind w:firstLine="640"/>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二、下步工作计划</w:t>
      </w:r>
      <w:bookmarkStart w:id="0" w:name="_GoBack"/>
      <w:bookmarkEnd w:id="0"/>
    </w:p>
    <w:p>
      <w:pPr>
        <w:numPr>
          <w:ilvl w:val="0"/>
          <w:numId w:val="0"/>
        </w:numPr>
        <w:ind w:firstLine="64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下一步，</w:t>
      </w:r>
      <w:r>
        <w:rPr>
          <w:rFonts w:hint="default" w:ascii="Times New Roman" w:hAnsi="Times New Roman" w:eastAsia="仿宋_GB2312" w:cs="Times New Roman"/>
          <w:sz w:val="32"/>
          <w:szCs w:val="32"/>
        </w:rPr>
        <w:t>根据全面实施预算绩效管理有关要求，</w:t>
      </w:r>
      <w:r>
        <w:rPr>
          <w:rFonts w:hint="eastAsia" w:ascii="Times New Roman" w:hAnsi="Times New Roman" w:eastAsia="仿宋_GB2312" w:cs="Times New Roman"/>
          <w:sz w:val="32"/>
          <w:szCs w:val="32"/>
          <w:lang w:eastAsia="zh-CN"/>
        </w:rPr>
        <w:t>针对目前园区</w:t>
      </w:r>
      <w:r>
        <w:rPr>
          <w:rFonts w:hint="eastAsia" w:ascii="Times New Roman" w:hAnsi="Times New Roman" w:eastAsia="仿宋_GB2312" w:cs="Times New Roman"/>
          <w:sz w:val="32"/>
          <w:szCs w:val="32"/>
          <w:lang w:val="en-US" w:eastAsia="zh-CN"/>
        </w:rPr>
        <w:t>开展绩效管理工作中存在的对绩效管理工作重视程度不够，绩效目标设置不科学、准确，未全面开展绩效动态监控工作等问题，</w:t>
      </w:r>
      <w:r>
        <w:rPr>
          <w:rFonts w:hint="eastAsia" w:ascii="Times New Roman" w:hAnsi="Times New Roman" w:eastAsia="仿宋_GB2312" w:cs="Times New Roman"/>
          <w:sz w:val="32"/>
          <w:szCs w:val="32"/>
          <w:lang w:eastAsia="zh-CN"/>
        </w:rPr>
        <w:t>园区将</w:t>
      </w:r>
      <w:r>
        <w:rPr>
          <w:rFonts w:hint="default" w:ascii="Times New Roman" w:hAnsi="Times New Roman" w:eastAsia="仿宋_GB2312" w:cs="Times New Roman"/>
          <w:sz w:val="32"/>
          <w:szCs w:val="32"/>
        </w:rPr>
        <w:t>推进全过程预算绩效管理，</w:t>
      </w:r>
      <w:r>
        <w:rPr>
          <w:rFonts w:hint="eastAsia" w:ascii="Times New Roman" w:hAnsi="Times New Roman" w:eastAsia="仿宋_GB2312" w:cs="Times New Roman"/>
          <w:sz w:val="32"/>
          <w:szCs w:val="32"/>
          <w:lang w:val="en-US" w:eastAsia="zh-CN"/>
        </w:rPr>
        <w:t>建立全方位、全过程、全覆盖的预算绩效管理体系，扩大预算绩效管理范围，加强预算项目绩效审核，着重开展重点项目资金绩效评价工作，</w:t>
      </w:r>
      <w:r>
        <w:rPr>
          <w:rFonts w:hint="default" w:ascii="Times New Roman" w:hAnsi="Times New Roman" w:eastAsia="仿宋_GB2312" w:cs="Times New Roman"/>
          <w:sz w:val="32"/>
          <w:szCs w:val="32"/>
        </w:rPr>
        <w:t>进一步提高财政资金科学化、精细化管理水平，更加注重结果导向、强调成本效益、硬化责任约束，提升</w:t>
      </w:r>
      <w:r>
        <w:rPr>
          <w:rFonts w:hint="eastAsia" w:ascii="Times New Roman" w:hAnsi="Times New Roman" w:eastAsia="仿宋_GB2312" w:cs="Times New Roman"/>
          <w:sz w:val="32"/>
          <w:szCs w:val="32"/>
          <w:lang w:eastAsia="zh-CN"/>
        </w:rPr>
        <w:t>园区</w:t>
      </w:r>
      <w:r>
        <w:rPr>
          <w:rFonts w:hint="default" w:ascii="Times New Roman" w:hAnsi="Times New Roman" w:eastAsia="仿宋_GB2312" w:cs="Times New Roman"/>
          <w:sz w:val="32"/>
          <w:szCs w:val="32"/>
        </w:rPr>
        <w:t>财政资金使用效率和部门管理水平</w:t>
      </w:r>
      <w:r>
        <w:rPr>
          <w:rFonts w:hint="eastAsia" w:ascii="Times New Roman" w:hAnsi="Times New Roman" w:eastAsia="仿宋_GB2312"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jc w:val="left"/>
        <w:outlineLvl w:val="9"/>
        <w:rPr>
          <w:rFonts w:hint="eastAsia" w:ascii="Times New Roman" w:hAnsi="Times New Roman" w:eastAsia="仿宋_GB2312" w:cs="Times New Roman"/>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jc w:val="left"/>
        <w:outlineLvl w:val="9"/>
        <w:rPr>
          <w:rFonts w:hint="eastAsia" w:ascii="Times New Roman" w:hAnsi="Times New Roman" w:eastAsia="仿宋_GB2312" w:cs="Times New Roman"/>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jc w:val="left"/>
        <w:outlineLvl w:val="9"/>
        <w:rPr>
          <w:rFonts w:hint="eastAsia" w:ascii="Times New Roman" w:hAnsi="Times New Roman" w:eastAsia="仿宋_GB2312" w:cs="Times New Roman"/>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jc w:val="left"/>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numPr>
          <w:ilvl w:val="0"/>
          <w:numId w:val="0"/>
        </w:numPr>
        <w:rPr>
          <w:rFonts w:hint="eastAsia" w:ascii="黑体" w:hAnsi="黑体" w:eastAsia="黑体" w:cs="黑体"/>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仿宋">
    <w:altName w:val="仿宋_GB2312"/>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Lucida Sans Unicode">
    <w:panose1 w:val="020B0602030504020204"/>
    <w:charset w:val="00"/>
    <w:family w:val="auto"/>
    <w:pitch w:val="default"/>
    <w:sig w:usb0="80001AFF" w:usb1="0000396B" w:usb2="00000000" w:usb3="00000000" w:csb0="0000003F" w:csb1="D7F70000"/>
  </w:font>
  <w:font w:name="Tahoma">
    <w:panose1 w:val="020B0604030504040204"/>
    <w:charset w:val="00"/>
    <w:family w:val="auto"/>
    <w:pitch w:val="default"/>
    <w:sig w:usb0="61007A87" w:usb1="80000000" w:usb2="00000008"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方正楷体简体">
    <w:panose1 w:val="02010601030101010101"/>
    <w:charset w:val="86"/>
    <w:family w:val="script"/>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Verdana">
    <w:panose1 w:val="020B0604030504040204"/>
    <w:charset w:val="00"/>
    <w:family w:val="swiss"/>
    <w:pitch w:val="default"/>
    <w:sig w:usb0="00000287" w:usb1="00000000" w:usb2="00000000" w:usb3="00000000" w:csb0="2000019F" w:csb1="00000000"/>
  </w:font>
  <w:font w:name="Courier New">
    <w:panose1 w:val="02070309020205020404"/>
    <w:charset w:val="00"/>
    <w:family w:val="modern"/>
    <w:pitch w:val="default"/>
    <w:sig w:usb0="00007A87" w:usb1="80000000" w:usb2="00000008" w:usb3="00000000" w:csb0="400001FF" w:csb1="FFFF0000"/>
  </w:font>
  <w:font w:name="MS Gothic">
    <w:panose1 w:val="020B0609070205080204"/>
    <w:charset w:val="80"/>
    <w:family w:val="modern"/>
    <w:pitch w:val="default"/>
    <w:sig w:usb0="A00002BF" w:usb1="68C7FCFB" w:usb2="00000010" w:usb3="00000000" w:csb0="4002009F" w:csb1="DFD70000"/>
  </w:font>
  <w:font w:name="Calibri Light">
    <w:altName w:val="Calibri"/>
    <w:panose1 w:val="020F0302020204030204"/>
    <w:charset w:val="00"/>
    <w:family w:val="swiss"/>
    <w:pitch w:val="default"/>
    <w:sig w:usb0="00000000" w:usb1="00000000" w:usb2="00000009" w:usb3="00000000" w:csb0="200001F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PingFang SC">
    <w:altName w:val="微软雅黑"/>
    <w:panose1 w:val="00000000000000000000"/>
    <w:charset w:val="00"/>
    <w:family w:val="auto"/>
    <w:pitch w:val="default"/>
    <w:sig w:usb0="00000000" w:usb1="00000000" w:usb2="00000000" w:usb3="00000000" w:csb0="00040001" w:csb1="00000000"/>
  </w:font>
  <w:font w:name="公文小标宋简">
    <w:altName w:val="宋体"/>
    <w:panose1 w:val="0201060901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A00002EF" w:usb1="420020EB" w:usb2="00000000" w:usb3="00000000" w:csb0="2000009F" w:csb1="00000000"/>
  </w:font>
  <w:font w:name="华文仿宋">
    <w:altName w:val="仿宋_GB2312"/>
    <w:panose1 w:val="02010600040101010101"/>
    <w:charset w:val="86"/>
    <w:family w:val="auto"/>
    <w:pitch w:val="default"/>
    <w:sig w:usb0="00000000" w:usb1="00000000" w:usb2="00000000" w:usb3="00000000" w:csb0="0004009F" w:csb1="DFD70000"/>
  </w:font>
  <w:font w:name="Calibri">
    <w:panose1 w:val="020F0502020204030204"/>
    <w:charset w:val="01"/>
    <w:family w:val="swiss"/>
    <w:pitch w:val="default"/>
    <w:sig w:usb0="A00002EF" w:usb1="4000207B" w:usb2="00000000" w:usb3="00000000" w:csb0="2000009F" w:csb1="00000000"/>
  </w:font>
  <w:font w:name="Cambria">
    <w:panose1 w:val="02040503050406030204"/>
    <w:charset w:val="01"/>
    <w:family w:val="roman"/>
    <w:pitch w:val="default"/>
    <w:sig w:usb0="A00002EF" w:usb1="4000004B" w:usb2="00000000" w:usb3="00000000" w:csb0="2000009F" w:csb1="00000000"/>
  </w:font>
  <w:font w:name="Tahoma">
    <w:panose1 w:val="020B0604030504040204"/>
    <w:charset w:val="01"/>
    <w:family w:val="swiss"/>
    <w:pitch w:val="default"/>
    <w:sig w:usb0="61007A87" w:usb1="80000000" w:usb2="00000008" w:usb3="00000000" w:csb0="200101FF" w:csb1="20280000"/>
  </w:font>
  <w:font w:name="Calibri">
    <w:panose1 w:val="020F0502020204030204"/>
    <w:charset w:val="86"/>
    <w:family w:val="swiss"/>
    <w:pitch w:val="default"/>
    <w:sig w:usb0="A00002EF" w:usb1="4000207B" w:usb2="00000000" w:usb3="00000000" w:csb0="2000009F" w:csb1="00000000"/>
  </w:font>
  <w:font w:name="Microsoft JhengHei">
    <w:altName w:val="Courier New"/>
    <w:panose1 w:val="00000000000000000000"/>
    <w:charset w:val="00"/>
    <w:family w:val="swiss"/>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B7798"/>
    <w:rsid w:val="087E4109"/>
    <w:rsid w:val="09BF5C31"/>
    <w:rsid w:val="0E640DAA"/>
    <w:rsid w:val="0F3208B7"/>
    <w:rsid w:val="14526C04"/>
    <w:rsid w:val="148922DA"/>
    <w:rsid w:val="15506881"/>
    <w:rsid w:val="16B02C93"/>
    <w:rsid w:val="1C763905"/>
    <w:rsid w:val="1EF02B43"/>
    <w:rsid w:val="1F9E7E58"/>
    <w:rsid w:val="20554E02"/>
    <w:rsid w:val="25A96589"/>
    <w:rsid w:val="262B7A11"/>
    <w:rsid w:val="26EC43EB"/>
    <w:rsid w:val="389F7E13"/>
    <w:rsid w:val="3C3D5962"/>
    <w:rsid w:val="3EF45932"/>
    <w:rsid w:val="3F7A5C95"/>
    <w:rsid w:val="40EE07B1"/>
    <w:rsid w:val="43512FD4"/>
    <w:rsid w:val="4E4E4EF2"/>
    <w:rsid w:val="52EA73A1"/>
    <w:rsid w:val="53AA5BEA"/>
    <w:rsid w:val="57E8626F"/>
    <w:rsid w:val="59563D30"/>
    <w:rsid w:val="5AE3601B"/>
    <w:rsid w:val="5C00096B"/>
    <w:rsid w:val="5F6545F4"/>
    <w:rsid w:val="67D467B8"/>
    <w:rsid w:val="6A7F2945"/>
    <w:rsid w:val="6C22467B"/>
    <w:rsid w:val="6D89574F"/>
    <w:rsid w:val="79EA1195"/>
    <w:rsid w:val="7C4545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王亚玲</cp:lastModifiedBy>
  <cp:lastPrinted>2020-09-08T07:31:00Z</cp:lastPrinted>
  <dcterms:modified xsi:type="dcterms:W3CDTF">2020-09-09T01:13:07Z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