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附件1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221" w:lineRule="auto"/>
        <w:ind w:left="39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招标方案核准意见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78" w:line="219" w:lineRule="auto"/>
        <w:ind w:left="7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建设项目名称：35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5"/>
          <w:sz w:val="24"/>
          <w:szCs w:val="24"/>
        </w:rPr>
        <w:t>嘎止输变电工程</w:t>
      </w:r>
    </w:p>
    <w:p>
      <w:pPr>
        <w:spacing w:before="4" w:line="219" w:lineRule="auto"/>
        <w:ind w:left="7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项目代码：2110-530900-04-01-584842</w:t>
      </w:r>
    </w:p>
    <w:p>
      <w:pPr>
        <w:spacing w:line="45" w:lineRule="exact"/>
      </w:pPr>
    </w:p>
    <w:tbl>
      <w:tblPr>
        <w:tblStyle w:val="4"/>
        <w:tblW w:w="8269" w:type="dxa"/>
        <w:tblInd w:w="1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89"/>
        <w:gridCol w:w="918"/>
        <w:gridCol w:w="889"/>
        <w:gridCol w:w="899"/>
        <w:gridCol w:w="899"/>
        <w:gridCol w:w="90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spacing w:before="195" w:line="220" w:lineRule="auto"/>
              <w:ind w:left="4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招标范围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招标组织形式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5" w:line="220" w:lineRule="auto"/>
              <w:ind w:left="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招标方式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477" w:right="125" w:hanging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不采用招标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30" w:line="321" w:lineRule="exact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3"/>
                <w:szCs w:val="23"/>
              </w:rPr>
              <w:t>全部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918" w:type="dxa"/>
            <w:vAlign w:val="top"/>
          </w:tcPr>
          <w:p>
            <w:pPr>
              <w:spacing w:before="130" w:line="321" w:lineRule="exact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3"/>
                <w:szCs w:val="23"/>
              </w:rPr>
              <w:t>部分</w:t>
            </w:r>
          </w:p>
          <w:p>
            <w:pPr>
              <w:spacing w:line="220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11" w:line="330" w:lineRule="exact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7"/>
                <w:sz w:val="23"/>
                <w:szCs w:val="23"/>
              </w:rPr>
              <w:t>自行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22" w:line="319" w:lineRule="exact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3"/>
                <w:szCs w:val="23"/>
              </w:rPr>
              <w:t>委托</w:t>
            </w:r>
          </w:p>
          <w:p>
            <w:pPr>
              <w:spacing w:line="220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12" w:line="329" w:lineRule="exact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3"/>
                <w:szCs w:val="23"/>
              </w:rPr>
              <w:t>公开</w:t>
            </w:r>
          </w:p>
          <w:p>
            <w:pPr>
              <w:spacing w:line="220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909" w:type="dxa"/>
            <w:vAlign w:val="top"/>
          </w:tcPr>
          <w:p>
            <w:pPr>
              <w:spacing w:before="111" w:line="330" w:lineRule="exact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3"/>
                <w:szCs w:val="23"/>
              </w:rPr>
              <w:t>邀请</w:t>
            </w:r>
          </w:p>
          <w:p>
            <w:pPr>
              <w:spacing w:line="220" w:lineRule="auto"/>
              <w:ind w:left="2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3" w:type="dxa"/>
            <w:vAlign w:val="top"/>
          </w:tcPr>
          <w:p>
            <w:pPr>
              <w:spacing w:before="201" w:line="219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勘察</w:t>
            </w:r>
          </w:p>
        </w:tc>
        <w:tc>
          <w:tcPr>
            <w:tcW w:w="889" w:type="dxa"/>
            <w:vAlign w:val="top"/>
          </w:tcPr>
          <w:p>
            <w:pPr>
              <w:spacing w:before="247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47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47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Align w:val="top"/>
          </w:tcPr>
          <w:p>
            <w:pPr>
              <w:spacing w:before="173" w:line="221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设计</w:t>
            </w:r>
          </w:p>
        </w:tc>
        <w:tc>
          <w:tcPr>
            <w:tcW w:w="889" w:type="dxa"/>
            <w:vAlign w:val="top"/>
          </w:tcPr>
          <w:p>
            <w:pPr>
              <w:spacing w:before="218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18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18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Align w:val="top"/>
          </w:tcPr>
          <w:p>
            <w:pPr>
              <w:spacing w:before="174"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建筑工程</w:t>
            </w:r>
          </w:p>
        </w:tc>
        <w:tc>
          <w:tcPr>
            <w:tcW w:w="889" w:type="dxa"/>
            <w:vAlign w:val="top"/>
          </w:tcPr>
          <w:p>
            <w:pPr>
              <w:spacing w:before="219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19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19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3" w:type="dxa"/>
            <w:vAlign w:val="top"/>
          </w:tcPr>
          <w:p>
            <w:pPr>
              <w:spacing w:before="164" w:line="220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安装工程</w:t>
            </w: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3" w:type="dxa"/>
            <w:vAlign w:val="top"/>
          </w:tcPr>
          <w:p>
            <w:pPr>
              <w:spacing w:before="174" w:line="228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监理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33" w:type="dxa"/>
            <w:vAlign w:val="top"/>
          </w:tcPr>
          <w:p>
            <w:pPr>
              <w:spacing w:before="215" w:line="221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设备</w:t>
            </w:r>
          </w:p>
        </w:tc>
        <w:tc>
          <w:tcPr>
            <w:tcW w:w="889" w:type="dxa"/>
            <w:vAlign w:val="top"/>
          </w:tcPr>
          <w:p>
            <w:pPr>
              <w:spacing w:before="260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60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60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spacing w:before="204" w:line="219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重要材料</w:t>
            </w:r>
          </w:p>
        </w:tc>
        <w:tc>
          <w:tcPr>
            <w:tcW w:w="889" w:type="dxa"/>
            <w:vAlign w:val="top"/>
          </w:tcPr>
          <w:p>
            <w:pPr>
              <w:spacing w:before="241" w:line="238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41" w:line="238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spacing w:before="241" w:line="23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3" w:type="dxa"/>
            <w:vAlign w:val="top"/>
          </w:tcPr>
          <w:p>
            <w:pPr>
              <w:spacing w:before="197" w:line="220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其他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spacing w:before="219" w:line="238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269" w:type="dxa"/>
            <w:gridSpan w:val="8"/>
            <w:vAlign w:val="top"/>
          </w:tcPr>
          <w:p>
            <w:pPr>
              <w:spacing w:before="47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审批部门审批意见说明：</w:t>
            </w:r>
          </w:p>
          <w:p>
            <w:pPr>
              <w:spacing w:before="35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根据35</w:t>
            </w:r>
            <w:r>
              <w:rPr>
                <w:rFonts w:ascii="宋体" w:hAnsi="宋体" w:eastAsia="宋体" w:cs="宋体"/>
                <w:sz w:val="23"/>
                <w:szCs w:val="23"/>
              </w:rPr>
              <w:t>kV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嘎止输变电工程招标基本情况表，批复如下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：</w:t>
            </w:r>
          </w:p>
          <w:p>
            <w:pPr>
              <w:spacing w:before="17" w:line="219" w:lineRule="auto"/>
              <w:ind w:left="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1.该项目的勘察、设计、建筑工程、安装工程、监理、设备和重要材料采</w:t>
            </w:r>
          </w:p>
          <w:p>
            <w:pPr>
              <w:spacing w:before="48" w:line="219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3578225</wp:posOffset>
                  </wp:positionH>
                  <wp:positionV relativeFrom="paragraph">
                    <wp:posOffset>37465</wp:posOffset>
                  </wp:positionV>
                  <wp:extent cx="1485900" cy="147955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34" cy="147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用公开招标的方式进入公共资源交易中心组织公开招标。</w:t>
            </w:r>
          </w:p>
          <w:p>
            <w:pPr>
              <w:spacing w:before="65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2.该项目的其他不采用招标方式。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6" w:line="219" w:lineRule="auto"/>
              <w:ind w:left="5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2"/>
                <w:w w:val="107"/>
                <w:sz w:val="23"/>
                <w:szCs w:val="23"/>
              </w:rPr>
              <w:t>2021年10月20日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137" w:right="1665" w:bottom="1053" w:left="824" w:header="0" w:footer="76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附件2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40" w:line="218" w:lineRule="auto"/>
        <w:ind w:left="5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电力项目安全管理和质量管控事项告知书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云南电网有限责任公司临沧供电局：</w:t>
      </w:r>
    </w:p>
    <w:p>
      <w:pPr>
        <w:spacing w:before="153" w:line="309" w:lineRule="auto"/>
        <w:ind w:right="141" w:firstLine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为了进一步加强电力项目的安全管理，有效防范安全生产和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质量事故，现就你单位35</w:t>
      </w:r>
      <w:r>
        <w:rPr>
          <w:rFonts w:ascii="宋体" w:hAnsi="宋体" w:eastAsia="宋体" w:cs="宋体"/>
          <w:sz w:val="31"/>
          <w:szCs w:val="31"/>
        </w:rPr>
        <w:t>kV</w:t>
      </w:r>
      <w:r>
        <w:rPr>
          <w:rFonts w:ascii="宋体" w:hAnsi="宋体" w:eastAsia="宋体" w:cs="宋体"/>
          <w:spacing w:val="5"/>
          <w:sz w:val="31"/>
          <w:szCs w:val="31"/>
        </w:rPr>
        <w:t>嘎止输变电工程施工</w:t>
      </w:r>
      <w:r>
        <w:rPr>
          <w:rFonts w:ascii="宋体" w:hAnsi="宋体" w:eastAsia="宋体" w:cs="宋体"/>
          <w:spacing w:val="4"/>
          <w:sz w:val="31"/>
          <w:szCs w:val="31"/>
        </w:rPr>
        <w:t>安全和质量管控</w:t>
      </w:r>
    </w:p>
    <w:p>
      <w:pPr>
        <w:spacing w:before="1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应重点注意的事项告知如下。</w:t>
      </w:r>
    </w:p>
    <w:p>
      <w:pPr>
        <w:spacing w:before="153" w:line="310" w:lineRule="auto"/>
        <w:ind w:firstLine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一、严格按照《</w:t>
      </w:r>
      <w:r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</w:rPr>
        <w:t>中华人民共和国</w:t>
      </w:r>
      <w:bookmarkStart w:id="0" w:name="_GoBack"/>
      <w:bookmarkEnd w:id="0"/>
      <w:r>
        <w:rPr>
          <w:rFonts w:ascii="宋体" w:hAnsi="宋体" w:eastAsia="宋体" w:cs="宋体"/>
          <w:spacing w:val="11"/>
          <w:sz w:val="31"/>
          <w:szCs w:val="31"/>
        </w:rPr>
        <w:t>安全生产法》(中华人民共和国主席令第88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号)、《电力安全生产监督管理办法》(国家发展和改革委员会令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第21号)、《电力建设工程施工安全监督管理办法》(国家发展和  </w:t>
      </w:r>
      <w:r>
        <w:rPr>
          <w:rFonts w:ascii="宋体" w:hAnsi="宋体" w:eastAsia="宋体" w:cs="宋体"/>
          <w:spacing w:val="26"/>
          <w:sz w:val="31"/>
          <w:szCs w:val="31"/>
        </w:rPr>
        <w:t>改革委员会令第28号)和《电力建设工程施工安全管理导则》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NB</w:t>
      </w:r>
      <w:r>
        <w:rPr>
          <w:rFonts w:ascii="宋体" w:hAnsi="宋体" w:eastAsia="宋体" w:cs="宋体"/>
          <w:spacing w:val="14"/>
          <w:sz w:val="31"/>
          <w:szCs w:val="31"/>
        </w:rPr>
        <w:t>/T10096-2018)等有关法律、法规和标</w:t>
      </w:r>
      <w:r>
        <w:rPr>
          <w:rFonts w:ascii="宋体" w:hAnsi="宋体" w:eastAsia="宋体" w:cs="宋体"/>
          <w:spacing w:val="13"/>
          <w:sz w:val="31"/>
          <w:szCs w:val="31"/>
        </w:rPr>
        <w:t>准的规定和要求，切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实落实企业安全生产主体责任。</w:t>
      </w:r>
    </w:p>
    <w:p>
      <w:pPr>
        <w:spacing w:before="151" w:line="521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5"/>
          <w:sz w:val="31"/>
          <w:szCs w:val="31"/>
        </w:rPr>
        <w:t>二、</w:t>
      </w:r>
      <w:r>
        <w:rPr>
          <w:rFonts w:ascii="宋体" w:hAnsi="宋体" w:eastAsia="宋体" w:cs="宋体"/>
          <w:spacing w:val="-59"/>
          <w:position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15"/>
          <w:sz w:val="31"/>
          <w:szCs w:val="31"/>
        </w:rPr>
        <w:t>应当按要求设置项目安全生产管理机构，配备安全生产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管理人员。</w:t>
      </w:r>
    </w:p>
    <w:p>
      <w:pPr>
        <w:spacing w:before="152" w:line="219" w:lineRule="auto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三、</w:t>
      </w:r>
      <w:r>
        <w:rPr>
          <w:rFonts w:ascii="宋体" w:hAnsi="宋体" w:eastAsia="宋体" w:cs="宋体"/>
          <w:spacing w:val="-8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应当开展安全生产教育培训。</w:t>
      </w:r>
    </w:p>
    <w:p>
      <w:pPr>
        <w:spacing w:before="152" w:line="219" w:lineRule="auto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四、应当严格落实安全生产投入。</w:t>
      </w:r>
    </w:p>
    <w:p>
      <w:pPr>
        <w:spacing w:before="152" w:line="521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5"/>
          <w:sz w:val="31"/>
          <w:szCs w:val="31"/>
        </w:rPr>
        <w:t>五、</w:t>
      </w:r>
      <w:r>
        <w:rPr>
          <w:rFonts w:ascii="宋体" w:hAnsi="宋体" w:eastAsia="宋体" w:cs="宋体"/>
          <w:spacing w:val="-65"/>
          <w:position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15"/>
          <w:sz w:val="31"/>
          <w:szCs w:val="31"/>
        </w:rPr>
        <w:t>应当按要求建立工程分包管控制度和措施，禁止施工单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位转包或违法分包工程。</w:t>
      </w:r>
    </w:p>
    <w:p>
      <w:pPr>
        <w:spacing w:before="150" w:line="219" w:lineRule="auto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六、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应当组织开展安全风险管控和隐患排查治理工作。</w:t>
      </w:r>
    </w:p>
    <w:p>
      <w:pPr>
        <w:spacing w:before="150" w:line="522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15"/>
          <w:sz w:val="31"/>
          <w:szCs w:val="31"/>
        </w:rPr>
        <w:t>七、应当严格落实应急管理及事故处置措施，及</w:t>
      </w:r>
      <w:r>
        <w:rPr>
          <w:rFonts w:ascii="宋体" w:hAnsi="宋体" w:eastAsia="宋体" w:cs="宋体"/>
          <w:spacing w:val="5"/>
          <w:position w:val="15"/>
          <w:sz w:val="31"/>
          <w:szCs w:val="31"/>
        </w:rPr>
        <w:t>时如实报告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生产安全事故。</w:t>
      </w:r>
    </w:p>
    <w:p>
      <w:pPr>
        <w:spacing w:before="151" w:line="219" w:lineRule="auto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八、严格按照《建设工程质量管理条例》(国务院令第279号)</w:t>
      </w:r>
    </w:p>
    <w:p>
      <w:pPr>
        <w:sectPr>
          <w:footerReference r:id="rId6" w:type="default"/>
          <w:pgSz w:w="11900" w:h="16830"/>
          <w:pgMar w:top="1430" w:right="1295" w:bottom="1997" w:left="1650" w:header="0" w:footer="1731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4" w:line="325" w:lineRule="auto"/>
        <w:ind w:left="19" w:right="8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和《国家能源局关于进一步明确电力建设工程质量监督机构业务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0"/>
          <w:sz w:val="29"/>
          <w:szCs w:val="29"/>
        </w:rPr>
        <w:t>工作的通知》(国能函安全〔2020〕39号)等有关文件的规定和要</w:t>
      </w:r>
      <w:r>
        <w:rPr>
          <w:rFonts w:ascii="宋体" w:hAnsi="宋体" w:eastAsia="宋体" w:cs="宋体"/>
          <w:spacing w:val="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4"/>
          <w:sz w:val="29"/>
          <w:szCs w:val="29"/>
        </w:rPr>
        <w:t>求，开工前必须办理工程质量监督注册手续，并做好工程质量管</w:t>
      </w:r>
    </w:p>
    <w:p>
      <w:pPr>
        <w:spacing w:line="220" w:lineRule="auto"/>
        <w:ind w:left="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控各项工作。</w:t>
      </w:r>
    </w:p>
    <w:p>
      <w:pPr>
        <w:spacing w:before="193" w:line="332" w:lineRule="auto"/>
        <w:ind w:left="19" w:right="57" w:firstLine="649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若发生违反上述事项的行为，有关部门将依照相关法律、法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5"/>
          <w:sz w:val="29"/>
          <w:szCs w:val="29"/>
        </w:rPr>
        <w:t>规和政策规定进行处罚，并将处罚信息纳入被处罚单位的信用记</w:t>
      </w:r>
    </w:p>
    <w:p>
      <w:pPr>
        <w:spacing w:line="221" w:lineRule="auto"/>
        <w:ind w:left="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录。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4" w:line="218" w:lineRule="auto"/>
        <w:ind w:left="6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告知人：临沧市发展和改革委员会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4" w:line="218" w:lineRule="auto"/>
        <w:ind w:left="6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被告知单位：云南电网有限责任公司临沧供电局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5" w:line="219" w:lineRule="auto"/>
        <w:ind w:left="46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0"/>
          <w:w w:val="105"/>
          <w:sz w:val="29"/>
          <w:szCs w:val="29"/>
        </w:rPr>
        <w:t>2022年10月25日</w:t>
      </w:r>
    </w:p>
    <w:p/>
    <w:p/>
    <w:p/>
    <w:p/>
    <w:p/>
    <w:p/>
    <w:p/>
    <w:p/>
    <w:p/>
    <w:p/>
    <w:p/>
    <w:p/>
    <w:p/>
    <w:p/>
    <w:p/>
    <w:p>
      <w:pPr>
        <w:spacing w:line="32" w:lineRule="exact"/>
      </w:pPr>
    </w:p>
    <w:tbl>
      <w:tblPr>
        <w:tblStyle w:val="4"/>
        <w:tblW w:w="890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900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spacing w:before="211" w:line="561" w:lineRule="exact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position w:val="20"/>
                <w:sz w:val="28"/>
                <w:szCs w:val="28"/>
              </w:rPr>
              <w:t>抄送：临沧市生态环境局、临沧市林业和草原局、临沧市应急管理局、临</w:t>
            </w:r>
          </w:p>
          <w:p>
            <w:pPr>
              <w:spacing w:before="1" w:line="187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>沧市自然资源规划局、临沧市水务局，云县发展改革局。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83" w:line="191" w:lineRule="auto"/>
              <w:ind w:left="2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4"/>
                <w:sz w:val="27"/>
                <w:szCs w:val="27"/>
              </w:rPr>
              <w:t>临沧市发展和改革委员会办公室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 xml:space="preserve">     </w:t>
            </w:r>
            <w:r>
              <w:rPr>
                <w:rFonts w:ascii="宋体" w:hAnsi="宋体" w:eastAsia="宋体" w:cs="宋体"/>
                <w:spacing w:val="54"/>
                <w:sz w:val="27"/>
                <w:szCs w:val="27"/>
              </w:rPr>
              <w:t>2022年10月25日印发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339" w:bottom="1573" w:left="1660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w w:val="59"/>
        <w:sz w:val="29"/>
        <w:szCs w:val="29"/>
      </w:rPr>
      <w:t>—</w:t>
    </w:r>
    <w:r>
      <w:rPr>
        <w:rFonts w:ascii="宋体" w:hAnsi="宋体" w:eastAsia="宋体" w:cs="宋体"/>
        <w:spacing w:val="-19"/>
        <w:w w:val="94"/>
        <w:sz w:val="29"/>
        <w:szCs w:val="29"/>
      </w:rPr>
      <w:t>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2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3OWE0NGQ2ZTUxMGMxM2Y1YzJjZTMxMzgzYzk2MmEifQ=="/>
  </w:docVars>
  <w:rsids>
    <w:rsidRoot w:val="00000000"/>
    <w:rsid w:val="4CB332FB"/>
    <w:rsid w:val="5EC40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2579</Words>
  <Characters>2850</Characters>
  <TotalTime>7</TotalTime>
  <ScaleCrop>false</ScaleCrop>
  <LinksUpToDate>false</LinksUpToDate>
  <CharactersWithSpaces>2930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2022-11-17T16:28:00Z</dcterms:created>
  <dc:creator>Kingsoft-PDF</dc:creator>
  <cp:keywords>6375f0a0db524f0015335504</cp:keywords>
  <cp:lastModifiedBy>Administrator</cp:lastModifiedBy>
  <dcterms:modified xsi:type="dcterms:W3CDTF">2024-03-15T06:51:06Z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2022-11-17T16:28:28Z</vt:filetime>
  </property>
  <property fmtid="{D5CDD505-2E9C-101B-9397-08002B2CF9AE}" pid="4" name="KSOProductBuildVer">
    <vt:lpwstr>2052-11.8.2.12085</vt:lpwstr>
  </property>
  <property fmtid="{D5CDD505-2E9C-101B-9397-08002B2CF9AE}" pid="5" name="ICV">
    <vt:lpwstr>79D8B83441EF40F38CA144E78D169A41</vt:lpwstr>
  </property>
</Properties>
</file>