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附件2</w:t>
      </w:r>
    </w:p>
    <w:p>
      <w:pPr>
        <w:spacing w:line="439" w:lineRule="auto"/>
        <w:rPr>
          <w:rFonts w:ascii="Arial"/>
          <w:sz w:val="21"/>
        </w:rPr>
      </w:pPr>
    </w:p>
    <w:p>
      <w:pPr>
        <w:spacing w:before="140" w:line="218" w:lineRule="auto"/>
        <w:ind w:left="5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电力项目安全管理和质量管控事项告知书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耿马汇能新能源有限公司：</w:t>
      </w:r>
    </w:p>
    <w:p>
      <w:pPr>
        <w:spacing w:before="164" w:line="319" w:lineRule="auto"/>
        <w:ind w:right="133" w:firstLine="63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为了进一步加强电力项目的安全管理，有效防范安全生产和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质量事故，现就你单位耿马香竹林二期160</w:t>
      </w:r>
      <w:r>
        <w:rPr>
          <w:rFonts w:ascii="宋体" w:hAnsi="宋体" w:eastAsia="宋体" w:cs="宋体"/>
          <w:sz w:val="30"/>
          <w:szCs w:val="30"/>
        </w:rPr>
        <w:t>MW</w:t>
      </w:r>
      <w:r>
        <w:rPr>
          <w:rFonts w:ascii="宋体" w:hAnsi="宋体" w:eastAsia="宋体" w:cs="宋体"/>
          <w:spacing w:val="19"/>
          <w:sz w:val="30"/>
          <w:szCs w:val="30"/>
        </w:rPr>
        <w:t>农业光伏项目送出</w:t>
      </w:r>
    </w:p>
    <w:p>
      <w:pPr>
        <w:spacing w:before="1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工程线路工程施工安全和质量管控应重点注意的事项</w:t>
      </w:r>
      <w:r>
        <w:rPr>
          <w:rFonts w:ascii="宋体" w:hAnsi="宋体" w:eastAsia="宋体" w:cs="宋体"/>
          <w:spacing w:val="7"/>
          <w:sz w:val="30"/>
          <w:szCs w:val="30"/>
        </w:rPr>
        <w:t>告知如下。</w:t>
      </w:r>
    </w:p>
    <w:p>
      <w:pPr>
        <w:tabs>
          <w:tab w:val="left" w:pos="170"/>
        </w:tabs>
        <w:spacing w:before="166" w:line="314" w:lineRule="auto"/>
        <w:ind w:firstLine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一、严格按照</w:t>
      </w:r>
      <w:r>
        <w:rPr>
          <w:rFonts w:hint="eastAsia" w:ascii="宋体" w:hAnsi="宋体" w:eastAsia="宋体" w:cs="宋体"/>
          <w:spacing w:val="20"/>
          <w:sz w:val="30"/>
          <w:szCs w:val="30"/>
        </w:rPr>
        <w:t>《中华人民共和国安全生产法》</w:t>
      </w:r>
      <w:bookmarkStart w:id="0" w:name="_GoBack"/>
      <w:bookmarkEnd w:id="0"/>
      <w:r>
        <w:rPr>
          <w:rFonts w:ascii="宋体" w:hAnsi="宋体" w:eastAsia="宋体" w:cs="宋体"/>
          <w:spacing w:val="20"/>
          <w:sz w:val="30"/>
          <w:szCs w:val="30"/>
        </w:rPr>
        <w:t>(中华人民共和国主席令</w:t>
      </w:r>
      <w:r>
        <w:rPr>
          <w:rFonts w:ascii="宋体" w:hAnsi="宋体" w:eastAsia="宋体" w:cs="宋体"/>
          <w:spacing w:val="19"/>
          <w:sz w:val="30"/>
          <w:szCs w:val="30"/>
        </w:rPr>
        <w:t>第88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号)、《电力安全生产监督管理办法》(国家发展和改革委员会令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2"/>
          <w:sz w:val="30"/>
          <w:szCs w:val="30"/>
        </w:rPr>
        <w:t>第21号)、《电力建设工程施工安全监督管理办法》(国家发展和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34"/>
          <w:sz w:val="30"/>
          <w:szCs w:val="30"/>
        </w:rPr>
        <w:t>改革委员会令第28号)和《电力建设工程施工安全管理导则》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ab/>
      </w:r>
      <w:r>
        <w:rPr>
          <w:rFonts w:ascii="宋体" w:hAnsi="宋体" w:eastAsia="宋体" w:cs="宋体"/>
          <w:spacing w:val="16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NB</w:t>
      </w:r>
      <w:r>
        <w:rPr>
          <w:rFonts w:ascii="宋体" w:hAnsi="宋体" w:eastAsia="宋体" w:cs="宋体"/>
          <w:spacing w:val="16"/>
          <w:sz w:val="30"/>
          <w:szCs w:val="30"/>
        </w:rPr>
        <w:t>/T10096-2018)等有关法律、法规和标准的规</w:t>
      </w:r>
      <w:r>
        <w:rPr>
          <w:rFonts w:ascii="宋体" w:hAnsi="宋体" w:eastAsia="宋体" w:cs="宋体"/>
          <w:spacing w:val="15"/>
          <w:sz w:val="30"/>
          <w:szCs w:val="30"/>
        </w:rPr>
        <w:t>定和要求，切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实落实企业安全生产主体责任。</w:t>
      </w:r>
    </w:p>
    <w:p>
      <w:pPr>
        <w:spacing w:before="203" w:line="521" w:lineRule="exact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position w:val="16"/>
          <w:sz w:val="30"/>
          <w:szCs w:val="30"/>
        </w:rPr>
        <w:t>二、</w:t>
      </w:r>
      <w:r>
        <w:rPr>
          <w:rFonts w:ascii="宋体" w:hAnsi="宋体" w:eastAsia="宋体" w:cs="宋体"/>
          <w:spacing w:val="-53"/>
          <w:position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position w:val="16"/>
          <w:sz w:val="30"/>
          <w:szCs w:val="30"/>
        </w:rPr>
        <w:t>应当按要求设置项目安全生产管理机构，配备安全生产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管理人员。</w:t>
      </w:r>
    </w:p>
    <w:p>
      <w:pPr>
        <w:spacing w:before="164" w:line="219" w:lineRule="auto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三、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应当开展安全生产教育培训。</w:t>
      </w:r>
    </w:p>
    <w:p>
      <w:pPr>
        <w:spacing w:before="164" w:line="219" w:lineRule="auto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四、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应当严格落实安全生产投入。</w:t>
      </w:r>
    </w:p>
    <w:p>
      <w:pPr>
        <w:spacing w:before="165" w:line="219" w:lineRule="auto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五、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应当按要求建立工程分包管控制度和措施，禁止施工单</w:t>
      </w:r>
    </w:p>
    <w:p>
      <w:pPr>
        <w:spacing w:before="164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位转包或违法分包工程。</w:t>
      </w:r>
    </w:p>
    <w:p>
      <w:pPr>
        <w:spacing w:before="162" w:line="219" w:lineRule="auto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六、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应当组织开展安全风险管控和隐患排查治理工作。</w:t>
      </w:r>
    </w:p>
    <w:p>
      <w:pPr>
        <w:spacing w:before="162" w:line="522" w:lineRule="exact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6"/>
          <w:sz w:val="30"/>
          <w:szCs w:val="30"/>
        </w:rPr>
        <w:t>七、应当严格落实应急管理及事故处置措施，及时如</w:t>
      </w:r>
      <w:r>
        <w:rPr>
          <w:rFonts w:ascii="宋体" w:hAnsi="宋体" w:eastAsia="宋体" w:cs="宋体"/>
          <w:spacing w:val="13"/>
          <w:position w:val="16"/>
          <w:sz w:val="30"/>
          <w:szCs w:val="30"/>
        </w:rPr>
        <w:t>实报告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生产安全事故。</w:t>
      </w:r>
    </w:p>
    <w:p>
      <w:pPr>
        <w:spacing w:before="162" w:line="219" w:lineRule="auto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八、严格按照《建设工程质量管理条例》(国务院令第2</w:t>
      </w:r>
      <w:r>
        <w:rPr>
          <w:rFonts w:ascii="宋体" w:hAnsi="宋体" w:eastAsia="宋体" w:cs="宋体"/>
          <w:spacing w:val="10"/>
          <w:sz w:val="30"/>
          <w:szCs w:val="30"/>
        </w:rPr>
        <w:t>79号)</w:t>
      </w:r>
    </w:p>
    <w:p>
      <w:pPr>
        <w:sectPr>
          <w:footerReference r:id="rId5" w:type="default"/>
          <w:pgSz w:w="11900" w:h="16830"/>
          <w:pgMar w:top="1430" w:right="1360" w:bottom="1610" w:left="1619" w:header="0" w:footer="1312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8" w:line="320" w:lineRule="auto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和《国家能源局关于进一步明确电力建设工程质量监督机构业务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1"/>
          <w:sz w:val="30"/>
          <w:szCs w:val="30"/>
        </w:rPr>
        <w:t>工作的通知》(国能函安全(2020)39号)等有关文件的规定和要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求，开工前必须办理工程质量监督注册手续，并做好工程质量管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控各项工作。</w:t>
      </w:r>
    </w:p>
    <w:p>
      <w:pPr>
        <w:spacing w:before="161" w:line="315" w:lineRule="auto"/>
        <w:ind w:firstLine="62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若发生违反上述事项的行为，有关部门将依照相关法律、法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规和政策规定进行处罚，并将处罚信息纳入被处罚单位的信用记</w:t>
      </w:r>
    </w:p>
    <w:p>
      <w:pPr>
        <w:spacing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录。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18" w:lineRule="auto"/>
        <w:ind w:left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告知人：临沧市发展和改革委员会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8" w:line="218" w:lineRule="auto"/>
        <w:ind w:left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被告知单位：耿马汇能新能源有限公司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8" w:line="219" w:lineRule="auto"/>
        <w:ind w:left="4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sz w:val="30"/>
          <w:szCs w:val="30"/>
        </w:rPr>
        <w:t>2022年10月20日</w:t>
      </w:r>
    </w:p>
    <w:sectPr>
      <w:footerReference r:id="rId6" w:type="default"/>
      <w:pgSz w:w="11900" w:h="16830"/>
      <w:pgMar w:top="1430" w:right="1475" w:bottom="1960" w:left="1629" w:header="0" w:footer="16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3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F4202E"/>
    <w:rsid w:val="357835D1"/>
    <w:rsid w:val="6B027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6375ef792a3caf0015f3009e</cp:keywords>
  <cp:lastModifiedBy>Administrator</cp:lastModifiedBy>
  <dcterms:modified xsi:type="dcterms:W3CDTF">2024-01-30T08:28:53Z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2022-11-17T16:23:33Z</vt:filetime>
  </property>
  <property fmtid="{D5CDD505-2E9C-101B-9397-08002B2CF9AE}" pid="4" name="KSOProductBuildVer">
    <vt:lpwstr>2052-11.8.2.12085</vt:lpwstr>
  </property>
  <property fmtid="{D5CDD505-2E9C-101B-9397-08002B2CF9AE}" pid="5" name="ICV">
    <vt:lpwstr>47702A617BEB41DC9201AAE71DB124AE</vt:lpwstr>
  </property>
</Properties>
</file>