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1" w:lineRule="auto"/>
        <w:ind w:left="32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招标方案核准意见</w:t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74" w:line="221" w:lineRule="auto"/>
        <w:ind w:left="4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建设项目名称：110</w:t>
      </w:r>
      <w:r>
        <w:rPr>
          <w:rFonts w:ascii="黑体" w:hAnsi="黑体" w:eastAsia="黑体" w:cs="黑体"/>
          <w:sz w:val="23"/>
          <w:szCs w:val="23"/>
        </w:rPr>
        <w:t>kV</w:t>
      </w:r>
      <w:r>
        <w:rPr>
          <w:rFonts w:ascii="黑体" w:hAnsi="黑体" w:eastAsia="黑体" w:cs="黑体"/>
          <w:spacing w:val="8"/>
          <w:sz w:val="23"/>
          <w:szCs w:val="23"/>
        </w:rPr>
        <w:t>耿马绿色园区输变电工程</w:t>
      </w:r>
    </w:p>
    <w:p>
      <w:pPr>
        <w:spacing w:before="45" w:line="217" w:lineRule="auto"/>
        <w:ind w:left="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项目代码：2201-530900-04-05-806123</w:t>
      </w:r>
    </w:p>
    <w:tbl>
      <w:tblPr>
        <w:tblStyle w:val="4"/>
        <w:tblW w:w="8150" w:type="dxa"/>
        <w:tblInd w:w="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889"/>
        <w:gridCol w:w="889"/>
        <w:gridCol w:w="869"/>
        <w:gridCol w:w="879"/>
        <w:gridCol w:w="899"/>
        <w:gridCol w:w="87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>
            <w:pPr>
              <w:spacing w:before="185" w:line="220" w:lineRule="auto"/>
              <w:ind w:left="4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招标范围</w:t>
            </w:r>
          </w:p>
        </w:tc>
        <w:tc>
          <w:tcPr>
            <w:tcW w:w="1748" w:type="dxa"/>
            <w:gridSpan w:val="2"/>
            <w:vAlign w:val="top"/>
          </w:tcPr>
          <w:p>
            <w:pPr>
              <w:spacing w:before="185" w:line="220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招标组织形式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spacing w:before="185" w:line="220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招标方式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477" w:right="126" w:hanging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不采用招标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18" w:line="234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全部</w:t>
            </w:r>
          </w:p>
          <w:p>
            <w:pPr>
              <w:spacing w:line="220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18" w:line="234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部分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69" w:type="dxa"/>
            <w:vAlign w:val="top"/>
          </w:tcPr>
          <w:p>
            <w:pPr>
              <w:spacing w:before="119" w:line="233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自行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31" w:line="232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委托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11" w:line="309" w:lineRule="exact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公开</w:t>
            </w:r>
          </w:p>
          <w:p>
            <w:pPr>
              <w:spacing w:line="220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10" w:line="320" w:lineRule="exact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3"/>
                <w:szCs w:val="23"/>
              </w:rPr>
              <w:t>邀请</w:t>
            </w:r>
          </w:p>
          <w:p>
            <w:pPr>
              <w:spacing w:line="220" w:lineRule="auto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23" w:type="dxa"/>
            <w:vAlign w:val="top"/>
          </w:tcPr>
          <w:p>
            <w:pPr>
              <w:spacing w:before="190" w:line="21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勘察</w:t>
            </w:r>
          </w:p>
        </w:tc>
        <w:tc>
          <w:tcPr>
            <w:tcW w:w="889" w:type="dxa"/>
            <w:vAlign w:val="top"/>
          </w:tcPr>
          <w:p>
            <w:pPr>
              <w:spacing w:before="236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36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13" w:line="23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3" w:type="dxa"/>
            <w:vAlign w:val="top"/>
          </w:tcPr>
          <w:p>
            <w:pPr>
              <w:spacing w:before="172" w:line="221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设计</w:t>
            </w:r>
          </w:p>
        </w:tc>
        <w:tc>
          <w:tcPr>
            <w:tcW w:w="889" w:type="dxa"/>
            <w:vAlign w:val="top"/>
          </w:tcPr>
          <w:p>
            <w:pPr>
              <w:spacing w:before="207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07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94" w:line="23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3" w:type="dxa"/>
            <w:vAlign w:val="top"/>
          </w:tcPr>
          <w:p>
            <w:pPr>
              <w:spacing w:before="172" w:line="220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建筑工程</w:t>
            </w:r>
          </w:p>
        </w:tc>
        <w:tc>
          <w:tcPr>
            <w:tcW w:w="889" w:type="dxa"/>
            <w:vAlign w:val="top"/>
          </w:tcPr>
          <w:p>
            <w:pPr>
              <w:spacing w:before="207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07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94" w:line="23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23" w:type="dxa"/>
            <w:vAlign w:val="top"/>
          </w:tcPr>
          <w:p>
            <w:pPr>
              <w:spacing w:before="162" w:line="220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安装工程</w:t>
            </w:r>
          </w:p>
        </w:tc>
        <w:tc>
          <w:tcPr>
            <w:tcW w:w="889" w:type="dxa"/>
            <w:vAlign w:val="top"/>
          </w:tcPr>
          <w:p>
            <w:pPr>
              <w:spacing w:before="197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97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4" w:line="23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23" w:type="dxa"/>
            <w:vAlign w:val="top"/>
          </w:tcPr>
          <w:p>
            <w:pPr>
              <w:spacing w:before="173" w:line="228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监理</w:t>
            </w:r>
          </w:p>
        </w:tc>
        <w:tc>
          <w:tcPr>
            <w:tcW w:w="889" w:type="dxa"/>
            <w:vAlign w:val="top"/>
          </w:tcPr>
          <w:p>
            <w:pPr>
              <w:spacing w:before="198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98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85" w:line="23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3" w:type="dxa"/>
            <w:vAlign w:val="top"/>
          </w:tcPr>
          <w:p>
            <w:pPr>
              <w:spacing w:before="214" w:line="221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设备</w:t>
            </w:r>
          </w:p>
        </w:tc>
        <w:tc>
          <w:tcPr>
            <w:tcW w:w="889" w:type="dxa"/>
            <w:vAlign w:val="top"/>
          </w:tcPr>
          <w:p>
            <w:pPr>
              <w:spacing w:before="249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49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36" w:line="238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23" w:type="dxa"/>
            <w:vAlign w:val="top"/>
          </w:tcPr>
          <w:p>
            <w:pPr>
              <w:spacing w:before="193" w:line="219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重要材料</w:t>
            </w:r>
          </w:p>
        </w:tc>
        <w:tc>
          <w:tcPr>
            <w:tcW w:w="889" w:type="dxa"/>
            <w:vAlign w:val="top"/>
          </w:tcPr>
          <w:p>
            <w:pPr>
              <w:spacing w:before="240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40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40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23" w:type="dxa"/>
            <w:vAlign w:val="top"/>
          </w:tcPr>
          <w:p>
            <w:pPr>
              <w:spacing w:before="186" w:line="220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其他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208" w:line="238" w:lineRule="auto"/>
              <w:ind w:left="5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8150" w:type="dxa"/>
            <w:gridSpan w:val="8"/>
            <w:vAlign w:val="top"/>
          </w:tcPr>
          <w:p>
            <w:pPr>
              <w:spacing w:before="46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审批部门审批意见说明：</w:t>
            </w:r>
          </w:p>
          <w:p>
            <w:pPr>
              <w:spacing w:before="35" w:line="219" w:lineRule="auto"/>
              <w:ind w:left="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根据110</w:t>
            </w:r>
            <w:r>
              <w:rPr>
                <w:rFonts w:ascii="宋体" w:hAnsi="宋体" w:eastAsia="宋体" w:cs="宋体"/>
                <w:sz w:val="23"/>
                <w:szCs w:val="23"/>
              </w:rPr>
              <w:t>kV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耿马绿色园区输变电工程招标基本情况表，批复如下：</w:t>
            </w:r>
          </w:p>
          <w:p>
            <w:pPr>
              <w:spacing w:before="38" w:line="234" w:lineRule="auto"/>
              <w:ind w:left="95" w:right="115" w:firstLine="459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3482340</wp:posOffset>
                  </wp:positionH>
                  <wp:positionV relativeFrom="paragraph">
                    <wp:posOffset>164465</wp:posOffset>
                  </wp:positionV>
                  <wp:extent cx="1454150" cy="14478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18" cy="144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1.该项目的勘察、设计、建筑工程、安装工程、监理、设备和重要材料采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用公开招标的方式进入公共资源交易中心组织公开招标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  <w:p>
            <w:pPr>
              <w:spacing w:before="35" w:line="219" w:lineRule="auto"/>
              <w:ind w:left="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2.该项目的其他不采用招标方式。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I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624" w:bottom="400" w:left="17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1B64C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2022-11-17T09:49:00Z</dcterms:created>
  <dc:creator>Kingsoft-PDF</dc:creator>
  <cp:keywords>637593332a3caf0015edc05d</cp:keywords>
  <cp:lastModifiedBy>Administrator</cp:lastModifiedBy>
  <dcterms:modified xsi:type="dcterms:W3CDTF">2022-11-17T07:04:59Z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2022-11-17T09:49:50Z</vt:filetime>
  </property>
  <property fmtid="{D5CDD505-2E9C-101B-9397-08002B2CF9AE}" pid="4" name="KSOProductBuildVer">
    <vt:lpwstr>2052-10.8.0.5950</vt:lpwstr>
  </property>
</Properties>
</file>