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distribute"/>
        <w:textAlignment w:val="auto"/>
        <w:rPr>
          <w:rFonts w:hint="eastAsia" w:ascii="仿宋_GB2312" w:hAnsi="仿宋_GB2312" w:eastAsia="仿宋_GB2312" w:cs="仿宋_GB2312"/>
          <w:b/>
          <w:bCs/>
          <w:color w:val="C00000"/>
          <w:w w:val="90"/>
          <w:kern w:val="16"/>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distribute"/>
        <w:textAlignment w:val="auto"/>
        <w:rPr>
          <w:rFonts w:hint="eastAsia" w:ascii="仿宋_GB2312" w:hAnsi="仿宋_GB2312" w:eastAsia="仿宋_GB2312" w:cs="仿宋_GB2312"/>
          <w:b/>
          <w:bCs/>
          <w:color w:val="C00000"/>
          <w:w w:val="90"/>
          <w:kern w:val="16"/>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distribute"/>
        <w:textAlignment w:val="auto"/>
        <w:rPr>
          <w:rFonts w:hint="eastAsia" w:ascii="仿宋_GB2312" w:hAnsi="仿宋_GB2312" w:eastAsia="仿宋_GB2312" w:cs="仿宋_GB2312"/>
          <w:b/>
          <w:bCs/>
          <w:color w:val="C00000"/>
          <w:w w:val="90"/>
          <w:kern w:val="16"/>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distribute"/>
        <w:textAlignment w:val="auto"/>
        <w:rPr>
          <w:rFonts w:hint="eastAsia" w:ascii="方正小标宋_GBK" w:hAnsi="方正小标宋_GBK" w:eastAsia="方正小标宋_GBK" w:cs="方正小标宋_GBK"/>
          <w:b/>
          <w:bCs/>
          <w:color w:val="FF0000"/>
          <w:sz w:val="32"/>
          <w:szCs w:val="32"/>
        </w:rPr>
      </w:pPr>
    </w:p>
    <w:p>
      <w:pPr>
        <w:spacing w:line="0" w:lineRule="atLeast"/>
        <w:ind w:firstLine="1600" w:firstLineChars="800"/>
        <w:rPr>
          <w:rFonts w:hint="eastAsia" w:ascii="仿宋_GB2312" w:hAnsi="仿宋_GB2312" w:eastAsia="仿宋_GB2312" w:cs="仿宋_GB2312"/>
          <w:color w:val="C00000"/>
          <w:sz w:val="20"/>
          <w:szCs w:val="20"/>
        </w:rPr>
      </w:pPr>
    </w:p>
    <w:p>
      <w:pPr>
        <w:spacing w:line="0" w:lineRule="atLeast"/>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临环审〔202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27</w:t>
      </w:r>
      <w:r>
        <w:rPr>
          <w:rFonts w:hint="eastAsia" w:ascii="仿宋_GB2312" w:hAnsi="仿宋_GB2312" w:eastAsia="仿宋_GB2312" w:cs="仿宋_GB2312"/>
          <w:color w:val="auto"/>
          <w:sz w:val="32"/>
          <w:szCs w:val="32"/>
          <w:highlight w:val="none"/>
        </w:rPr>
        <w:t>号</w:t>
      </w:r>
    </w:p>
    <w:p>
      <w:pPr>
        <w:spacing w:line="0" w:lineRule="atLeast"/>
        <w:jc w:val="center"/>
        <w:rPr>
          <w:rFonts w:hint="eastAsia" w:ascii="仿宋_GB2312" w:hAnsi="仿宋_GB2312" w:eastAsia="仿宋_GB2312" w:cs="仿宋_GB2312"/>
          <w:color w:val="C0000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bCs/>
          <w:color w:val="C00000"/>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bCs/>
          <w:color w:val="auto"/>
          <w:sz w:val="44"/>
          <w:szCs w:val="44"/>
          <w:lang w:val="en-US" w:eastAsia="zh-CN"/>
        </w:rPr>
      </w:pPr>
      <w:r>
        <w:rPr>
          <w:rFonts w:hint="eastAsia" w:ascii="方正小标宋_GBK" w:hAnsi="方正小标宋_GBK" w:eastAsia="方正小标宋_GBK" w:cs="方正小标宋_GBK"/>
          <w:b/>
          <w:bCs/>
          <w:color w:val="auto"/>
          <w:sz w:val="44"/>
          <w:szCs w:val="44"/>
        </w:rPr>
        <w:t>临沧市生态环境局关于</w:t>
      </w:r>
      <w:r>
        <w:rPr>
          <w:rFonts w:hint="eastAsia" w:ascii="方正小标宋_GBK" w:hAnsi="方正小标宋_GBK" w:eastAsia="方正小标宋_GBK" w:cs="方正小标宋_GBK"/>
          <w:b/>
          <w:bCs/>
          <w:color w:val="auto"/>
          <w:sz w:val="44"/>
          <w:szCs w:val="44"/>
          <w:lang w:val="en-US" w:eastAsia="zh-CN"/>
        </w:rPr>
        <w:t>云县巨源新能源报废</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bCs/>
          <w:color w:val="auto"/>
          <w:sz w:val="44"/>
          <w:szCs w:val="44"/>
          <w:lang w:val="en-US" w:eastAsia="zh-CN"/>
        </w:rPr>
      </w:pPr>
      <w:r>
        <w:rPr>
          <w:rFonts w:hint="eastAsia" w:ascii="方正小标宋_GBK" w:hAnsi="方正小标宋_GBK" w:eastAsia="方正小标宋_GBK" w:cs="方正小标宋_GBK"/>
          <w:b/>
          <w:bCs/>
          <w:color w:val="auto"/>
          <w:sz w:val="44"/>
          <w:szCs w:val="44"/>
          <w:lang w:val="en-US" w:eastAsia="zh-CN"/>
        </w:rPr>
        <w:t>电动汽车回收拆解利用建设项目</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bCs/>
          <w:color w:val="auto"/>
          <w:sz w:val="44"/>
          <w:szCs w:val="44"/>
        </w:rPr>
      </w:pPr>
      <w:r>
        <w:rPr>
          <w:rFonts w:hint="eastAsia" w:ascii="方正小标宋_GBK" w:hAnsi="方正小标宋_GBK" w:eastAsia="方正小标宋_GBK" w:cs="方正小标宋_GBK"/>
          <w:b/>
          <w:bCs/>
          <w:color w:val="auto"/>
          <w:sz w:val="44"/>
          <w:szCs w:val="44"/>
          <w:lang w:val="en-US" w:eastAsia="zh-CN"/>
        </w:rPr>
        <w:t>环境</w:t>
      </w:r>
      <w:r>
        <w:rPr>
          <w:rFonts w:hint="eastAsia" w:ascii="方正小标宋_GBK" w:hAnsi="方正小标宋_GBK" w:eastAsia="方正小标宋_GBK" w:cs="方正小标宋_GBK"/>
          <w:b/>
          <w:bCs/>
          <w:color w:val="auto"/>
          <w:sz w:val="44"/>
          <w:szCs w:val="44"/>
        </w:rPr>
        <w:t>影响报告</w:t>
      </w:r>
      <w:r>
        <w:rPr>
          <w:rFonts w:hint="eastAsia" w:ascii="方正小标宋_GBK" w:hAnsi="方正小标宋_GBK" w:eastAsia="方正小标宋_GBK" w:cs="方正小标宋_GBK"/>
          <w:b/>
          <w:bCs/>
          <w:color w:val="auto"/>
          <w:sz w:val="44"/>
          <w:szCs w:val="44"/>
          <w:lang w:val="en-US" w:eastAsia="zh-CN"/>
        </w:rPr>
        <w:t>表</w:t>
      </w:r>
      <w:r>
        <w:rPr>
          <w:rFonts w:hint="eastAsia" w:ascii="方正小标宋_GBK" w:hAnsi="方正小标宋_GBK" w:eastAsia="方正小标宋_GBK" w:cs="方正小标宋_GBK"/>
          <w:b/>
          <w:bCs/>
          <w:color w:val="auto"/>
          <w:sz w:val="44"/>
          <w:szCs w:val="44"/>
        </w:rPr>
        <w:t>的批复</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left"/>
        <w:textAlignment w:val="auto"/>
        <w:outlineLvl w:val="9"/>
        <w:rPr>
          <w:rFonts w:hint="eastAsia" w:ascii="仿宋_GB2312" w:hAnsi="仿宋_GB2312" w:eastAsia="仿宋_GB2312" w:cs="仿宋_GB2312"/>
          <w:i w:val="0"/>
          <w:iCs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云县巨源再生资源回收有限公司：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rPr>
        <w:t>你</w:t>
      </w:r>
      <w:r>
        <w:rPr>
          <w:rFonts w:hint="eastAsia" w:ascii="仿宋_GB2312" w:hAnsi="仿宋_GB2312" w:eastAsia="仿宋_GB2312" w:cs="仿宋_GB2312"/>
          <w:color w:val="auto"/>
          <w:sz w:val="32"/>
          <w:szCs w:val="32"/>
          <w:highlight w:val="none"/>
          <w:lang w:val="en-US" w:eastAsia="zh-CN"/>
        </w:rPr>
        <w:t>公司</w:t>
      </w:r>
      <w:r>
        <w:rPr>
          <w:rFonts w:hint="eastAsia" w:ascii="仿宋_GB2312" w:hAnsi="仿宋_GB2312" w:eastAsia="仿宋_GB2312" w:cs="仿宋_GB2312"/>
          <w:color w:val="auto"/>
          <w:sz w:val="32"/>
          <w:szCs w:val="32"/>
          <w:highlight w:val="none"/>
        </w:rPr>
        <w:t>申请报批的《</w:t>
      </w:r>
      <w:r>
        <w:rPr>
          <w:rFonts w:hint="eastAsia" w:ascii="仿宋_GB2312" w:hAnsi="仿宋_GB2312" w:eastAsia="仿宋_GB2312" w:cs="仿宋_GB2312"/>
          <w:color w:val="auto"/>
          <w:sz w:val="32"/>
          <w:szCs w:val="32"/>
          <w:highlight w:val="none"/>
          <w:lang w:val="en-US" w:eastAsia="zh-CN"/>
        </w:rPr>
        <w:t>云县巨源新能源报废电动汽车回收拆解利用建设项目环境影响报告表</w:t>
      </w:r>
      <w:r>
        <w:rPr>
          <w:rFonts w:hint="eastAsia" w:ascii="仿宋_GB2312" w:hAnsi="仿宋_GB2312" w:eastAsia="仿宋_GB2312" w:cs="仿宋_GB2312"/>
          <w:color w:val="auto"/>
          <w:sz w:val="32"/>
          <w:szCs w:val="32"/>
          <w:highlight w:val="none"/>
        </w:rPr>
        <w:t>》（以下简称《</w:t>
      </w:r>
      <w:r>
        <w:rPr>
          <w:rFonts w:hint="eastAsia" w:ascii="仿宋_GB2312" w:hAnsi="仿宋_GB2312" w:eastAsia="仿宋_GB2312" w:cs="仿宋_GB2312"/>
          <w:color w:val="auto"/>
          <w:sz w:val="32"/>
          <w:szCs w:val="32"/>
          <w:highlight w:val="none"/>
          <w:lang w:eastAsia="zh-CN"/>
        </w:rPr>
        <w:t>报告</w:t>
      </w:r>
      <w:r>
        <w:rPr>
          <w:rFonts w:hint="eastAsia" w:ascii="仿宋_GB2312" w:hAnsi="仿宋_GB2312" w:eastAsia="仿宋_GB2312" w:cs="仿宋_GB2312"/>
          <w:color w:val="auto"/>
          <w:sz w:val="32"/>
          <w:szCs w:val="32"/>
          <w:highlight w:val="none"/>
          <w:lang w:val="en-US" w:eastAsia="zh-CN"/>
        </w:rPr>
        <w:t>表</w:t>
      </w:r>
      <w:r>
        <w:rPr>
          <w:rFonts w:hint="eastAsia" w:ascii="仿宋_GB2312" w:hAnsi="仿宋_GB2312" w:eastAsia="仿宋_GB2312" w:cs="仿宋_GB2312"/>
          <w:color w:val="auto"/>
          <w:sz w:val="32"/>
          <w:szCs w:val="32"/>
          <w:highlight w:val="none"/>
        </w:rPr>
        <w:t>》）收悉。</w:t>
      </w:r>
      <w:r>
        <w:rPr>
          <w:rFonts w:hint="eastAsia" w:ascii="仿宋_GB2312" w:hAnsi="仿宋_GB2312" w:eastAsia="仿宋_GB2312" w:cs="仿宋_GB2312"/>
          <w:color w:val="auto"/>
          <w:sz w:val="32"/>
          <w:szCs w:val="32"/>
          <w:highlight w:val="none"/>
          <w:lang w:val="en-US" w:eastAsia="zh-CN"/>
        </w:rPr>
        <w:t>现</w:t>
      </w:r>
      <w:r>
        <w:rPr>
          <w:rFonts w:hint="eastAsia" w:ascii="仿宋_GB2312" w:hAnsi="仿宋_GB2312" w:eastAsia="仿宋_GB2312" w:cs="仿宋_GB2312"/>
          <w:color w:val="auto"/>
          <w:sz w:val="32"/>
          <w:szCs w:val="32"/>
          <w:highlight w:val="none"/>
        </w:rPr>
        <w:t>批复如下：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一、项目基本信息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项目</w:t>
      </w:r>
      <w:r>
        <w:rPr>
          <w:rFonts w:hint="default" w:ascii="仿宋_GB2312" w:hAnsi="仿宋_GB2312" w:eastAsia="仿宋_GB2312" w:cs="仿宋_GB2312"/>
          <w:color w:val="auto"/>
          <w:sz w:val="32"/>
          <w:szCs w:val="32"/>
          <w:lang w:val="en-US" w:eastAsia="zh-CN"/>
        </w:rPr>
        <w:t>位于</w:t>
      </w:r>
      <w:r>
        <w:rPr>
          <w:rFonts w:hint="eastAsia" w:ascii="仿宋_GB2312" w:hAnsi="仿宋_GB2312" w:eastAsia="仿宋_GB2312" w:cs="仿宋_GB2312"/>
          <w:color w:val="auto"/>
          <w:sz w:val="32"/>
          <w:szCs w:val="32"/>
          <w:lang w:val="en-US" w:eastAsia="zh-CN"/>
        </w:rPr>
        <w:t>云南省临沧市云县爱华镇德胜村，地理坐标东经100°10′4.121″，北纬24°29′51.779″</w:t>
      </w:r>
      <w:r>
        <w:rPr>
          <w:rFonts w:hint="default" w:ascii="仿宋_GB2312" w:hAnsi="仿宋_GB2312" w:eastAsia="仿宋_GB2312" w:cs="仿宋_GB2312"/>
          <w:color w:val="auto"/>
          <w:sz w:val="32"/>
          <w:szCs w:val="32"/>
          <w:lang w:val="en-US" w:eastAsia="zh-CN"/>
        </w:rPr>
        <w:t>。项目占地面积为10780m²，作业场地</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包括拆解和贮存场地</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面积约7500m²，高于经营面积的60%</w:t>
      </w:r>
      <w:r>
        <w:rPr>
          <w:rFonts w:hint="eastAsia" w:ascii="仿宋_GB2312" w:hAnsi="仿宋_GB2312" w:eastAsia="仿宋_GB2312" w:cs="仿宋_GB2312"/>
          <w:color w:val="auto"/>
          <w:sz w:val="32"/>
          <w:szCs w:val="32"/>
          <w:lang w:val="en-US" w:eastAsia="zh-CN"/>
        </w:rPr>
        <w:t>，建成后拆解能力达到年拆解新能源报废汽车机动车5000辆，其中纯电动汽车2000辆、混合动力（电动）汽车2500辆、燃料电池电动汽车500辆。</w:t>
      </w:r>
      <w:r>
        <w:rPr>
          <w:rFonts w:hint="default" w:ascii="仿宋_GB2312" w:hAnsi="仿宋_GB2312" w:eastAsia="仿宋_GB2312" w:cs="仿宋_GB2312"/>
          <w:color w:val="auto"/>
          <w:sz w:val="32"/>
          <w:szCs w:val="32"/>
        </w:rPr>
        <w:t>项目总投资为</w:t>
      </w:r>
      <w:r>
        <w:rPr>
          <w:rFonts w:hint="eastAsia" w:ascii="仿宋_GB2312" w:hAnsi="仿宋_GB2312" w:eastAsia="仿宋_GB2312" w:cs="仿宋_GB2312"/>
          <w:color w:val="auto"/>
          <w:sz w:val="32"/>
          <w:szCs w:val="32"/>
          <w:lang w:val="en-US" w:eastAsia="zh-CN"/>
        </w:rPr>
        <w:t>500</w:t>
      </w:r>
      <w:r>
        <w:rPr>
          <w:rFonts w:hint="default" w:ascii="仿宋_GB2312" w:hAnsi="仿宋_GB2312" w:eastAsia="仿宋_GB2312" w:cs="仿宋_GB2312"/>
          <w:color w:val="auto"/>
          <w:sz w:val="32"/>
          <w:szCs w:val="32"/>
          <w:lang w:val="en-US" w:eastAsia="zh-CN"/>
        </w:rPr>
        <w:t>万元</w:t>
      </w:r>
      <w:r>
        <w:rPr>
          <w:rFonts w:hint="default"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lang w:val="en-US" w:eastAsia="zh-CN"/>
        </w:rPr>
        <w:t>其中环保投资</w:t>
      </w:r>
      <w:r>
        <w:rPr>
          <w:rFonts w:hint="eastAsia" w:ascii="仿宋_GB2312" w:hAnsi="仿宋_GB2312" w:eastAsia="仿宋_GB2312" w:cs="仿宋_GB2312"/>
          <w:color w:val="auto"/>
          <w:sz w:val="32"/>
          <w:szCs w:val="32"/>
          <w:lang w:val="en-US" w:eastAsia="zh-CN"/>
        </w:rPr>
        <w:t>10.1</w:t>
      </w:r>
      <w:r>
        <w:rPr>
          <w:rFonts w:hint="default" w:ascii="仿宋_GB2312" w:hAnsi="仿宋_GB2312" w:eastAsia="仿宋_GB2312" w:cs="仿宋_GB2312"/>
          <w:color w:val="auto"/>
          <w:sz w:val="32"/>
          <w:szCs w:val="32"/>
        </w:rPr>
        <w:t>万元，占工程总投资的</w:t>
      </w:r>
      <w:r>
        <w:rPr>
          <w:rFonts w:hint="default"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eastAsia="zh-CN"/>
        </w:rPr>
        <w:t>02</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w:t>
      </w:r>
      <w:r>
        <w:rPr>
          <w:rFonts w:hint="eastAsia" w:ascii="仿宋_GB2312" w:hAnsi="仿宋_GB2312" w:eastAsia="仿宋_GB2312" w:cs="仿宋_GB2312"/>
          <w:color w:val="auto"/>
          <w:sz w:val="32"/>
          <w:szCs w:val="32"/>
          <w:lang w:eastAsia="zh-CN"/>
        </w:rPr>
        <w:t>报告</w:t>
      </w:r>
      <w:r>
        <w:rPr>
          <w:rFonts w:hint="eastAsia" w:ascii="仿宋_GB2312" w:hAnsi="仿宋_GB2312" w:eastAsia="仿宋_GB2312" w:cs="仿宋_GB2312"/>
          <w:color w:val="auto"/>
          <w:sz w:val="32"/>
          <w:szCs w:val="32"/>
          <w:lang w:val="en-US" w:eastAsia="zh-CN"/>
        </w:rPr>
        <w:t>表</w:t>
      </w:r>
      <w:r>
        <w:rPr>
          <w:rFonts w:hint="eastAsia" w:ascii="仿宋_GB2312" w:hAnsi="仿宋_GB2312" w:eastAsia="仿宋_GB2312" w:cs="仿宋_GB2312"/>
          <w:color w:val="auto"/>
          <w:sz w:val="32"/>
          <w:szCs w:val="32"/>
        </w:rPr>
        <w:t>》可作为该项目环境保护设计、建设、验收和运行环境管理的依据。项目建设符合国家及云南省对建设项目环境影响评价文件审批的有关规定，不存在工程建设的重大环境制约因素，</w:t>
      </w:r>
      <w:r>
        <w:rPr>
          <w:rFonts w:hint="eastAsia" w:ascii="仿宋_GB2312" w:hAnsi="仿宋_GB2312" w:eastAsia="仿宋_GB2312" w:cs="仿宋_GB2312"/>
          <w:color w:val="auto"/>
          <w:sz w:val="32"/>
          <w:szCs w:val="32"/>
          <w:lang w:eastAsia="zh-CN"/>
        </w:rPr>
        <w:t>市生态环境局</w:t>
      </w:r>
      <w:r>
        <w:rPr>
          <w:rFonts w:hint="eastAsia" w:ascii="仿宋_GB2312" w:hAnsi="仿宋_GB2312" w:eastAsia="仿宋_GB2312" w:cs="仿宋_GB2312"/>
          <w:color w:val="auto"/>
          <w:sz w:val="32"/>
          <w:szCs w:val="32"/>
        </w:rPr>
        <w:t>同意按照《</w:t>
      </w:r>
      <w:r>
        <w:rPr>
          <w:rFonts w:hint="eastAsia" w:ascii="仿宋_GB2312" w:hAnsi="仿宋_GB2312" w:eastAsia="仿宋_GB2312" w:cs="仿宋_GB2312"/>
          <w:color w:val="auto"/>
          <w:sz w:val="32"/>
          <w:szCs w:val="32"/>
          <w:lang w:eastAsia="zh-CN"/>
        </w:rPr>
        <w:t>报告</w:t>
      </w:r>
      <w:r>
        <w:rPr>
          <w:rFonts w:hint="eastAsia" w:ascii="仿宋_GB2312" w:hAnsi="仿宋_GB2312" w:eastAsia="仿宋_GB2312" w:cs="仿宋_GB2312"/>
          <w:color w:val="auto"/>
          <w:sz w:val="32"/>
          <w:szCs w:val="32"/>
          <w:lang w:val="en-US" w:eastAsia="zh-CN"/>
        </w:rPr>
        <w:t>表</w:t>
      </w:r>
      <w:r>
        <w:rPr>
          <w:rFonts w:hint="eastAsia" w:ascii="仿宋_GB2312" w:hAnsi="仿宋_GB2312" w:eastAsia="仿宋_GB2312" w:cs="仿宋_GB2312"/>
          <w:color w:val="auto"/>
          <w:sz w:val="32"/>
          <w:szCs w:val="32"/>
        </w:rPr>
        <w:t>》所述的环境保护对策措施方案建设。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二、项目建设和生产过程中应当做好的工作</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pacing w:val="0"/>
          <w:sz w:val="32"/>
          <w:szCs w:val="32"/>
          <w:highlight w:val="none"/>
          <w:lang w:eastAsia="zh-CN"/>
        </w:rPr>
        <w:t>请</w:t>
      </w:r>
      <w:r>
        <w:rPr>
          <w:rFonts w:hint="eastAsia" w:ascii="仿宋_GB2312" w:hAnsi="仿宋_GB2312" w:eastAsia="仿宋_GB2312" w:cs="仿宋_GB2312"/>
          <w:color w:val="auto"/>
          <w:spacing w:val="0"/>
          <w:sz w:val="32"/>
          <w:szCs w:val="32"/>
          <w:highlight w:val="none"/>
          <w:lang w:val="en-US" w:eastAsia="zh-CN"/>
        </w:rPr>
        <w:t>你公司</w:t>
      </w:r>
      <w:r>
        <w:rPr>
          <w:rFonts w:hint="eastAsia" w:ascii="仿宋_GB2312" w:hAnsi="仿宋_GB2312" w:eastAsia="仿宋_GB2312" w:cs="仿宋_GB2312"/>
          <w:color w:val="auto"/>
          <w:spacing w:val="0"/>
          <w:sz w:val="32"/>
          <w:szCs w:val="32"/>
          <w:highlight w:val="none"/>
          <w:lang w:eastAsia="zh-CN"/>
        </w:rPr>
        <w:t>严格对照《报告</w:t>
      </w:r>
      <w:r>
        <w:rPr>
          <w:rFonts w:hint="eastAsia" w:ascii="仿宋_GB2312" w:hAnsi="仿宋_GB2312" w:eastAsia="仿宋_GB2312" w:cs="仿宋_GB2312"/>
          <w:color w:val="auto"/>
          <w:spacing w:val="0"/>
          <w:sz w:val="32"/>
          <w:szCs w:val="32"/>
          <w:highlight w:val="none"/>
          <w:lang w:val="en-US" w:eastAsia="zh-CN"/>
        </w:rPr>
        <w:t>表</w:t>
      </w:r>
      <w:r>
        <w:rPr>
          <w:rFonts w:hint="eastAsia" w:ascii="仿宋_GB2312" w:hAnsi="仿宋_GB2312" w:eastAsia="仿宋_GB2312" w:cs="仿宋_GB2312"/>
          <w:color w:val="auto"/>
          <w:spacing w:val="0"/>
          <w:sz w:val="32"/>
          <w:szCs w:val="32"/>
          <w:highlight w:val="none"/>
          <w:lang w:eastAsia="zh-CN"/>
        </w:rPr>
        <w:t>》提出的各项污染防治措施及要求落实。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b w:val="0"/>
          <w:bCs w:val="0"/>
          <w:color w:val="auto"/>
          <w:sz w:val="32"/>
          <w:szCs w:val="32"/>
          <w:highlight w:val="none"/>
        </w:rPr>
        <w:t>项目建设必须严格执行配套建设的环境保护设施与主体工程同时设计、同时施工、同时投产使用的环境保护“三同时”制度。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项目环境影响评价文件经批准后，如工程的性质、规模、工艺、地点或者防治污染、防止生态破坏的措施发生重大变动的，建设单位应当重新报批环境影响评价文件，否则不得实施建设。自环评批复文件批准之日起，如工程超过5年未开工建设，环境影响评价文件应当报临沧市生态环境局重新审核。</w:t>
      </w: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pacing w:val="0"/>
          <w:sz w:val="32"/>
          <w:szCs w:val="32"/>
          <w:highlight w:val="none"/>
          <w:lang w:eastAsia="zh-CN"/>
        </w:rPr>
        <w:t>请</w:t>
      </w:r>
      <w:r>
        <w:rPr>
          <w:rFonts w:hint="eastAsia" w:ascii="仿宋_GB2312" w:hAnsi="仿宋_GB2312" w:eastAsia="仿宋_GB2312" w:cs="仿宋_GB2312"/>
          <w:color w:val="auto"/>
          <w:spacing w:val="0"/>
          <w:sz w:val="32"/>
          <w:szCs w:val="32"/>
          <w:highlight w:val="none"/>
          <w:lang w:val="en-US" w:eastAsia="zh-CN"/>
        </w:rPr>
        <w:t>你公司严格</w:t>
      </w:r>
      <w:r>
        <w:rPr>
          <w:rFonts w:hint="eastAsia" w:ascii="仿宋_GB2312" w:hAnsi="仿宋_GB2312" w:eastAsia="仿宋_GB2312" w:cs="仿宋_GB2312"/>
          <w:color w:val="auto"/>
          <w:sz w:val="32"/>
          <w:szCs w:val="32"/>
          <w:highlight w:val="none"/>
          <w:lang w:val="en-US" w:eastAsia="zh-CN"/>
        </w:rPr>
        <w:t>按照《突发环境事件应急预案管理暂行办法》的要求，强化环境风险管理，制定环境风险应急预案并报市生态环境局云县分局备案；落实各项环境风险防范和应急处置设施（措施），做好日常环境应急演练和培训，开展环境监测，保障环境安全。</w:t>
      </w: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sz w:val="32"/>
          <w:szCs w:val="32"/>
          <w:highlight w:val="none"/>
          <w:lang w:val="en-US" w:eastAsia="zh-CN"/>
        </w:rPr>
        <w:t>（五）项目竣工后，</w:t>
      </w:r>
      <w:r>
        <w:rPr>
          <w:rFonts w:hint="eastAsia" w:ascii="仿宋_GB2312" w:hAnsi="仿宋_GB2312" w:eastAsia="仿宋_GB2312" w:cs="仿宋_GB2312"/>
          <w:color w:val="auto"/>
          <w:spacing w:val="0"/>
          <w:sz w:val="32"/>
          <w:szCs w:val="32"/>
          <w:highlight w:val="none"/>
          <w:lang w:eastAsia="zh-CN"/>
        </w:rPr>
        <w:t>请</w:t>
      </w:r>
      <w:r>
        <w:rPr>
          <w:rFonts w:hint="eastAsia" w:ascii="仿宋_GB2312" w:hAnsi="仿宋_GB2312" w:eastAsia="仿宋_GB2312" w:cs="仿宋_GB2312"/>
          <w:color w:val="auto"/>
          <w:spacing w:val="0"/>
          <w:sz w:val="32"/>
          <w:szCs w:val="32"/>
          <w:highlight w:val="none"/>
          <w:lang w:val="en-US" w:eastAsia="zh-CN"/>
        </w:rPr>
        <w:t>你公司</w:t>
      </w:r>
      <w:r>
        <w:rPr>
          <w:rFonts w:hint="eastAsia" w:ascii="仿宋_GB2312" w:hAnsi="仿宋_GB2312" w:eastAsia="仿宋_GB2312" w:cs="仿宋_GB2312"/>
          <w:color w:val="auto"/>
          <w:sz w:val="32"/>
          <w:szCs w:val="32"/>
          <w:highlight w:val="none"/>
          <w:lang w:val="en-US" w:eastAsia="zh-CN"/>
        </w:rPr>
        <w:t>严格按照《建设项目竣工环境保护验收暂行办法》有关规定，组织对配套建设的环境保护设施进行验收，并将相关信息向社会公开，同时将上述信息报送市生态环境局云县分局。</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color w:val="auto"/>
          <w:sz w:val="32"/>
          <w:szCs w:val="32"/>
        </w:rPr>
      </w:pPr>
      <w:r>
        <w:rPr>
          <w:rFonts w:hint="eastAsia" w:ascii="仿宋_GB2312" w:hAnsi="仿宋_GB2312" w:eastAsia="仿宋_GB2312" w:cs="仿宋_GB2312"/>
          <w:color w:val="auto"/>
          <w:kern w:val="0"/>
          <w:sz w:val="32"/>
          <w:szCs w:val="32"/>
          <w:highlight w:val="none"/>
          <w:lang w:val="en-US" w:eastAsia="zh-CN" w:bidi="ar-SA"/>
        </w:rPr>
        <w:t>（六）</w:t>
      </w:r>
      <w:r>
        <w:rPr>
          <w:rFonts w:hint="default" w:ascii="Times New Roman" w:hAnsi="Times New Roman" w:eastAsia="仿宋_GB2312" w:cs="Times New Roman"/>
          <w:color w:val="auto"/>
          <w:spacing w:val="0"/>
          <w:sz w:val="32"/>
          <w:szCs w:val="32"/>
          <w:highlight w:val="none"/>
          <w:lang w:eastAsia="zh-CN"/>
        </w:rPr>
        <w:t>请</w:t>
      </w:r>
      <w:r>
        <w:rPr>
          <w:rFonts w:hint="eastAsia" w:eastAsia="仿宋_GB2312" w:cs="Times New Roman"/>
          <w:color w:val="auto"/>
          <w:spacing w:val="0"/>
          <w:sz w:val="32"/>
          <w:szCs w:val="32"/>
          <w:highlight w:val="none"/>
          <w:lang w:val="en-US" w:eastAsia="zh-CN"/>
        </w:rPr>
        <w:t>你公司</w:t>
      </w:r>
      <w:r>
        <w:rPr>
          <w:rFonts w:hint="default" w:ascii="Times New Roman" w:hAnsi="Times New Roman" w:eastAsia="仿宋_GB2312" w:cs="Times New Roman"/>
          <w:color w:val="auto"/>
          <w:spacing w:val="0"/>
          <w:sz w:val="32"/>
          <w:szCs w:val="32"/>
          <w:highlight w:val="none"/>
          <w:lang w:val="en-US" w:eastAsia="zh-CN"/>
        </w:rPr>
        <w:t>在</w:t>
      </w:r>
      <w:r>
        <w:rPr>
          <w:rFonts w:hint="default" w:ascii="Times New Roman" w:hAnsi="Times New Roman" w:eastAsia="仿宋_GB2312" w:cs="Times New Roman"/>
          <w:kern w:val="0"/>
          <w:sz w:val="32"/>
          <w:szCs w:val="32"/>
          <w:highlight w:val="none"/>
          <w:lang w:val="en-US" w:eastAsia="zh-CN" w:bidi="ar-SA"/>
        </w:rPr>
        <w:t>启动生</w:t>
      </w:r>
      <w:r>
        <w:rPr>
          <w:rFonts w:hint="default" w:ascii="Times New Roman" w:hAnsi="Times New Roman" w:eastAsia="仿宋_GB2312" w:cs="Times New Roman"/>
          <w:kern w:val="0"/>
          <w:sz w:val="32"/>
          <w:szCs w:val="32"/>
          <w:lang w:val="en-US" w:eastAsia="zh-CN" w:bidi="ar-SA"/>
        </w:rPr>
        <w:t>产设施或者发生实际排污行为之前依法申请取得排污许可证，未取得排污许可证前，不得</w:t>
      </w:r>
      <w:r>
        <w:rPr>
          <w:rFonts w:hint="default" w:ascii="Times New Roman" w:hAnsi="Times New Roman" w:eastAsia="仿宋_GB2312" w:cs="Times New Roman"/>
          <w:color w:val="auto"/>
          <w:sz w:val="32"/>
          <w:szCs w:val="32"/>
          <w:lang w:val="en-US" w:eastAsia="zh-CN"/>
        </w:rPr>
        <w:t>排污。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（七）市</w:t>
      </w:r>
      <w:r>
        <w:rPr>
          <w:rFonts w:hint="eastAsia" w:ascii="仿宋_GB2312" w:hAnsi="仿宋_GB2312" w:eastAsia="仿宋_GB2312" w:cs="仿宋_GB2312"/>
          <w:color w:val="auto"/>
          <w:sz w:val="32"/>
          <w:szCs w:val="32"/>
        </w:rPr>
        <w:t>生态环境局</w:t>
      </w:r>
      <w:r>
        <w:rPr>
          <w:rFonts w:hint="eastAsia" w:ascii="仿宋_GB2312" w:hAnsi="仿宋_GB2312" w:eastAsia="仿宋_GB2312" w:cs="仿宋_GB2312"/>
          <w:color w:val="auto"/>
          <w:sz w:val="32"/>
          <w:szCs w:val="32"/>
          <w:lang w:val="en-US" w:eastAsia="zh-CN"/>
        </w:rPr>
        <w:t>云县</w:t>
      </w:r>
      <w:r>
        <w:rPr>
          <w:rFonts w:hint="eastAsia" w:ascii="仿宋_GB2312" w:hAnsi="仿宋_GB2312" w:eastAsia="仿宋_GB2312" w:cs="仿宋_GB2312"/>
          <w:color w:val="auto"/>
          <w:sz w:val="32"/>
          <w:szCs w:val="32"/>
        </w:rPr>
        <w:t>分局要切实履行属地监管职责，按照相关法律法规及《关于进一步完善建设项目环境保护“三同时”及竣工环境保护自主验收监管工作机制的意见》（环执法〔2021〕70号）要求，加强对该项目环境保护“三同时”及自主验收监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C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color w:val="C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hint="eastAsia" w:ascii="仿宋_GB2312" w:hAnsi="仿宋_GB2312" w:eastAsia="仿宋_GB2312" w:cs="仿宋_GB2312"/>
          <w:color w:val="C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480" w:firstLineChars="14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临沧市生态环境局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120" w:firstLineChars="1600"/>
        <w:jc w:val="both"/>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32"/>
          <w:szCs w:val="32"/>
          <w:highlight w:val="none"/>
          <w:lang w:val="en-US" w:eastAsia="zh-CN"/>
        </w:rPr>
        <w:t>2024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18</w:t>
      </w:r>
      <w:r>
        <w:rPr>
          <w:rFonts w:hint="eastAsia" w:ascii="仿宋_GB2312" w:hAnsi="仿宋_GB2312" w:eastAsia="仿宋_GB2312" w:cs="仿宋_GB2312"/>
          <w:color w:val="auto"/>
          <w:sz w:val="32"/>
          <w:szCs w:val="32"/>
          <w:highlight w:val="none"/>
        </w:rPr>
        <w:t>日</w:t>
      </w:r>
    </w:p>
    <w:p>
      <w:pPr>
        <w:tabs>
          <w:tab w:val="left" w:pos="622"/>
        </w:tabs>
        <w:bidi w:val="0"/>
        <w:ind w:left="0" w:leftChars="0" w:firstLine="0" w:firstLineChars="0"/>
        <w:jc w:val="left"/>
        <w:rPr>
          <w:rFonts w:hint="eastAsia" w:ascii="仿宋_GB2312" w:hAnsi="仿宋_GB2312" w:eastAsia="仿宋_GB2312" w:cs="仿宋_GB2312"/>
          <w:color w:val="C00000"/>
          <w:kern w:val="2"/>
          <w:sz w:val="24"/>
          <w:szCs w:val="24"/>
          <w:lang w:val="en-US" w:eastAsia="zh-CN" w:bidi="ar-SA"/>
        </w:rPr>
      </w:pPr>
    </w:p>
    <w:p>
      <w:pPr>
        <w:ind w:left="0" w:leftChars="0" w:firstLine="0" w:firstLineChars="0"/>
        <w:rPr>
          <w:color w:val="C00000"/>
        </w:rPr>
      </w:pPr>
    </w:p>
    <w:p>
      <w:pPr>
        <w:pStyle w:val="2"/>
        <w:ind w:left="0" w:leftChars="0" w:firstLine="0" w:firstLineChars="0"/>
        <w:rPr>
          <w:color w:val="C00000"/>
        </w:rPr>
      </w:pPr>
    </w:p>
    <w:p>
      <w:pPr>
        <w:rPr>
          <w:color w:val="C00000"/>
        </w:rPr>
      </w:pPr>
    </w:p>
    <w:p>
      <w:pPr>
        <w:rPr>
          <w:color w:val="C00000"/>
        </w:rPr>
      </w:pPr>
    </w:p>
    <w:p>
      <w:pPr>
        <w:rPr>
          <w:color w:val="C00000"/>
        </w:rPr>
      </w:pPr>
    </w:p>
    <w:p>
      <w:pPr>
        <w:rPr>
          <w:color w:val="C00000"/>
        </w:rPr>
      </w:pPr>
    </w:p>
    <w:p>
      <w:pPr>
        <w:rPr>
          <w:color w:val="C00000"/>
        </w:rPr>
      </w:pPr>
    </w:p>
    <w:p>
      <w:pPr>
        <w:rPr>
          <w:color w:val="C00000"/>
        </w:rPr>
      </w:pPr>
    </w:p>
    <w:p>
      <w:pPr>
        <w:rPr>
          <w:color w:val="C00000"/>
        </w:rPr>
      </w:pPr>
    </w:p>
    <w:p>
      <w:pPr>
        <w:rPr>
          <w:color w:val="C00000"/>
        </w:rPr>
      </w:pPr>
    </w:p>
    <w:p>
      <w:pPr>
        <w:rPr>
          <w:color w:val="C00000"/>
        </w:rPr>
      </w:pPr>
    </w:p>
    <w:p>
      <w:pPr>
        <w:rPr>
          <w:color w:val="C00000"/>
        </w:rPr>
      </w:pPr>
    </w:p>
    <w:p>
      <w:pPr>
        <w:rPr>
          <w:color w:val="C00000"/>
        </w:rPr>
      </w:pPr>
    </w:p>
    <w:p>
      <w:pPr>
        <w:ind w:left="0" w:leftChars="0" w:firstLine="0" w:firstLineChars="0"/>
        <w:rPr>
          <w:color w:val="C00000"/>
        </w:rPr>
      </w:pPr>
    </w:p>
    <w:tbl>
      <w:tblPr>
        <w:tblStyle w:val="8"/>
        <w:tblpPr w:leftFromText="180" w:rightFromText="180" w:vertAnchor="text" w:horzAnchor="page" w:tblpX="1462" w:tblpY="8108"/>
        <w:tblOverlap w:val="never"/>
        <w:tblW w:w="9173"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7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173" w:type="dxa"/>
            <w:tcBorders>
              <w:top w:val="single" w:color="auto" w:sz="4" w:space="0"/>
              <w:left w:val="nil"/>
              <w:bottom w:val="single" w:color="auto" w:sz="4" w:space="0"/>
              <w:right w:val="nil"/>
            </w:tcBorders>
          </w:tcPr>
          <w:p>
            <w:pPr>
              <w:keepNext w:val="0"/>
              <w:keepLines w:val="0"/>
              <w:pageBreakBefore w:val="0"/>
              <w:widowControl w:val="0"/>
              <w:kinsoku/>
              <w:wordWrap/>
              <w:overflowPunct/>
              <w:topLinePunct w:val="0"/>
              <w:autoSpaceDE/>
              <w:autoSpaceDN/>
              <w:bidi w:val="0"/>
              <w:adjustRightInd w:val="0"/>
              <w:snapToGrid w:val="0"/>
              <w:spacing w:line="440" w:lineRule="exact"/>
              <w:ind w:left="1114" w:leftChars="114" w:right="0" w:rightChars="0" w:hanging="840" w:hangingChars="300"/>
              <w:jc w:val="both"/>
              <w:textAlignment w:val="auto"/>
              <w:outlineLvl w:val="9"/>
              <w:rPr>
                <w:rFonts w:hint="eastAsia" w:ascii="仿宋_GB2312" w:hAnsi="仿宋_GB2312" w:eastAsia="仿宋_GB2312" w:cs="仿宋_GB2312"/>
                <w:color w:val="auto"/>
                <w:kern w:val="2"/>
                <w:sz w:val="21"/>
                <w:lang w:val="en-US" w:eastAsia="zh-CN"/>
              </w:rPr>
            </w:pPr>
            <w:r>
              <w:rPr>
                <w:rFonts w:hint="eastAsia" w:ascii="仿宋_GB2312" w:hAnsi="仿宋_GB2312" w:eastAsia="仿宋_GB2312" w:cs="仿宋_GB2312"/>
                <w:color w:val="auto"/>
                <w:kern w:val="0"/>
                <w:sz w:val="28"/>
                <w:szCs w:val="28"/>
              </w:rPr>
              <w:t>抄送：</w:t>
            </w:r>
            <w:r>
              <w:rPr>
                <w:rFonts w:hint="eastAsia" w:ascii="仿宋_GB2312" w:hAnsi="仿宋_GB2312" w:eastAsia="仿宋_GB2312" w:cs="仿宋_GB2312"/>
                <w:color w:val="auto"/>
                <w:kern w:val="0"/>
                <w:sz w:val="28"/>
                <w:szCs w:val="28"/>
                <w:highlight w:val="none"/>
                <w:lang w:eastAsia="zh-CN"/>
              </w:rPr>
              <w:t>市工业和信息化局，</w:t>
            </w:r>
            <w:r>
              <w:rPr>
                <w:rFonts w:hint="eastAsia" w:ascii="仿宋_GB2312" w:hAnsi="仿宋_GB2312" w:eastAsia="仿宋_GB2312" w:cs="仿宋_GB2312"/>
                <w:color w:val="auto"/>
                <w:kern w:val="0"/>
                <w:sz w:val="28"/>
                <w:szCs w:val="28"/>
                <w:highlight w:val="none"/>
              </w:rPr>
              <w:t>市</w:t>
            </w:r>
            <w:r>
              <w:rPr>
                <w:rFonts w:hint="eastAsia" w:ascii="仿宋_GB2312" w:hAnsi="仿宋_GB2312" w:eastAsia="仿宋_GB2312" w:cs="仿宋_GB2312"/>
                <w:color w:val="auto"/>
                <w:kern w:val="0"/>
                <w:sz w:val="28"/>
                <w:szCs w:val="28"/>
              </w:rPr>
              <w:t>生态环境局</w:t>
            </w:r>
            <w:r>
              <w:rPr>
                <w:rFonts w:hint="eastAsia" w:ascii="仿宋_GB2312" w:hAnsi="仿宋_GB2312" w:eastAsia="仿宋_GB2312" w:cs="仿宋_GB2312"/>
                <w:color w:val="auto"/>
                <w:kern w:val="0"/>
                <w:sz w:val="28"/>
                <w:szCs w:val="28"/>
                <w:lang w:val="en-US" w:eastAsia="zh-CN"/>
              </w:rPr>
              <w:t>各科、室、支队、中心、站、云县</w:t>
            </w:r>
            <w:r>
              <w:rPr>
                <w:rFonts w:hint="eastAsia" w:ascii="仿宋_GB2312" w:hAnsi="仿宋_GB2312" w:eastAsia="仿宋_GB2312" w:cs="仿宋_GB2312"/>
                <w:color w:val="auto"/>
                <w:kern w:val="0"/>
                <w:sz w:val="28"/>
                <w:szCs w:val="28"/>
              </w:rPr>
              <w:t>分局</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173" w:type="dxa"/>
            <w:tcBorders>
              <w:top w:val="single" w:color="auto" w:sz="4" w:space="0"/>
              <w:left w:val="nil"/>
              <w:bottom w:val="single" w:color="auto" w:sz="4" w:space="0"/>
              <w:right w:val="nil"/>
            </w:tcBorders>
          </w:tcPr>
          <w:p>
            <w:pPr>
              <w:spacing w:line="560" w:lineRule="exact"/>
              <w:ind w:firstLine="280" w:firstLineChars="100"/>
              <w:rPr>
                <w:rFonts w:hint="eastAsia" w:ascii="仿宋_GB2312" w:hAnsi="仿宋_GB2312" w:eastAsia="仿宋_GB2312" w:cs="仿宋_GB2312"/>
                <w:color w:val="auto"/>
                <w:kern w:val="2"/>
                <w:sz w:val="21"/>
                <w:lang w:eastAsia="zh-CN"/>
              </w:rPr>
            </w:pPr>
            <w:r>
              <w:rPr>
                <w:rFonts w:hint="eastAsia" w:ascii="仿宋_GB2312" w:hAnsi="仿宋_GB2312" w:eastAsia="仿宋_GB2312" w:cs="仿宋_GB2312"/>
                <w:color w:val="auto"/>
                <w:kern w:val="0"/>
                <w:sz w:val="28"/>
                <w:szCs w:val="28"/>
              </w:rPr>
              <w:t xml:space="preserve">临沧市生态环境局                 </w:t>
            </w:r>
            <w:r>
              <w:rPr>
                <w:rFonts w:hint="eastAsia" w:ascii="仿宋_GB2312" w:hAnsi="仿宋_GB2312" w:eastAsia="仿宋_GB2312" w:cs="仿宋_GB2312"/>
                <w:color w:val="auto"/>
                <w:kern w:val="0"/>
                <w:sz w:val="28"/>
                <w:szCs w:val="28"/>
                <w:lang w:val="en-US" w:eastAsia="zh-CN"/>
              </w:rPr>
              <w:t xml:space="preserve"> </w:t>
            </w:r>
            <w:r>
              <w:rPr>
                <w:rFonts w:hint="eastAsia" w:ascii="仿宋_GB2312" w:hAnsi="仿宋_GB2312" w:eastAsia="仿宋_GB2312" w:cs="仿宋_GB2312"/>
                <w:color w:val="auto"/>
                <w:kern w:val="0"/>
                <w:sz w:val="28"/>
                <w:szCs w:val="28"/>
              </w:rPr>
              <w:t xml:space="preserve">       </w:t>
            </w:r>
            <w:r>
              <w:rPr>
                <w:rFonts w:hint="eastAsia" w:ascii="仿宋_GB2312" w:hAnsi="仿宋_GB2312" w:eastAsia="仿宋_GB2312" w:cs="仿宋_GB2312"/>
                <w:color w:val="auto"/>
                <w:kern w:val="0"/>
                <w:sz w:val="28"/>
                <w:szCs w:val="28"/>
                <w:lang w:val="en-US" w:eastAsia="zh-CN"/>
              </w:rPr>
              <w:t xml:space="preserve"> 2024</w:t>
            </w:r>
            <w:r>
              <w:rPr>
                <w:rFonts w:hint="eastAsia" w:ascii="仿宋_GB2312" w:hAnsi="仿宋_GB2312" w:eastAsia="仿宋_GB2312" w:cs="仿宋_GB2312"/>
                <w:color w:val="auto"/>
                <w:kern w:val="0"/>
                <w:sz w:val="28"/>
                <w:szCs w:val="28"/>
              </w:rPr>
              <w:t>年</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月</w:t>
            </w:r>
            <w:r>
              <w:rPr>
                <w:rFonts w:hint="eastAsia" w:ascii="仿宋_GB2312" w:hAnsi="仿宋_GB2312" w:eastAsia="仿宋_GB2312" w:cs="仿宋_GB2312"/>
                <w:color w:val="auto"/>
                <w:kern w:val="0"/>
                <w:sz w:val="28"/>
                <w:szCs w:val="28"/>
                <w:lang w:val="en-US" w:eastAsia="zh-CN"/>
              </w:rPr>
              <w:t>18</w:t>
            </w:r>
            <w:r>
              <w:rPr>
                <w:rFonts w:hint="eastAsia" w:ascii="仿宋_GB2312" w:hAnsi="仿宋_GB2312" w:eastAsia="仿宋_GB2312" w:cs="仿宋_GB2312"/>
                <w:color w:val="auto"/>
                <w:kern w:val="0"/>
                <w:sz w:val="28"/>
                <w:szCs w:val="28"/>
              </w:rPr>
              <w:t>日印</w:t>
            </w:r>
            <w:r>
              <w:rPr>
                <w:rFonts w:hint="eastAsia" w:ascii="仿宋_GB2312" w:hAnsi="仿宋_GB2312" w:eastAsia="仿宋_GB2312" w:cs="仿宋_GB2312"/>
                <w:color w:val="auto"/>
                <w:kern w:val="0"/>
                <w:sz w:val="28"/>
                <w:szCs w:val="28"/>
                <w:lang w:eastAsia="zh-CN"/>
              </w:rPr>
              <w:t>制</w:t>
            </w:r>
          </w:p>
        </w:tc>
      </w:tr>
    </w:tbl>
    <w:p>
      <w:pPr>
        <w:rPr>
          <w:color w:val="C00000"/>
        </w:rPr>
      </w:pPr>
    </w:p>
    <w:p>
      <w:pPr>
        <w:rPr>
          <w:color w:val="C00000"/>
        </w:rPr>
      </w:pPr>
    </w:p>
    <w:sectPr>
      <w:footerReference r:id="rId5" w:type="default"/>
      <w:pgSz w:w="11906" w:h="16838"/>
      <w:pgMar w:top="2154" w:right="1474" w:bottom="2041" w:left="1531"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E131AD2-45D8-4D26-A9A4-8A27D3CDAA9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9D1C451-D925-4F7F-9A9F-345B73A9A1C3}"/>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6172A958-AA59-44DD-B8AD-9DDB2E31E5B0}"/>
  </w:font>
  <w:font w:name="方正小标宋_GBK">
    <w:panose1 w:val="02000000000000000000"/>
    <w:charset w:val="86"/>
    <w:family w:val="auto"/>
    <w:pitch w:val="default"/>
    <w:sig w:usb0="A00002BF" w:usb1="38CF7CFA" w:usb2="00082016" w:usb3="00000000" w:csb0="00040001" w:csb1="00000000"/>
    <w:embedRegular r:id="rId4" w:fontKey="{71494981-0FF7-4FD2-8234-CA21845EB3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2YWY2MzEyZGUwMDA5ODc3N2I5NTI5MDQ1NzM4YjcifQ=="/>
  </w:docVars>
  <w:rsids>
    <w:rsidRoot w:val="61FF7B53"/>
    <w:rsid w:val="007E634A"/>
    <w:rsid w:val="046C3791"/>
    <w:rsid w:val="0A737F36"/>
    <w:rsid w:val="0AEA632C"/>
    <w:rsid w:val="0D5B0F8B"/>
    <w:rsid w:val="0EB308D3"/>
    <w:rsid w:val="11E9006E"/>
    <w:rsid w:val="14EC0D54"/>
    <w:rsid w:val="1964069F"/>
    <w:rsid w:val="1AD25606"/>
    <w:rsid w:val="1DD64BEF"/>
    <w:rsid w:val="1E495675"/>
    <w:rsid w:val="247D4575"/>
    <w:rsid w:val="25556412"/>
    <w:rsid w:val="27E47529"/>
    <w:rsid w:val="2B7E174D"/>
    <w:rsid w:val="2CFB2F50"/>
    <w:rsid w:val="333149E1"/>
    <w:rsid w:val="35B0486C"/>
    <w:rsid w:val="395F137E"/>
    <w:rsid w:val="398B3419"/>
    <w:rsid w:val="39ED5849"/>
    <w:rsid w:val="3BFF7BF7"/>
    <w:rsid w:val="3E3501DB"/>
    <w:rsid w:val="45833DC6"/>
    <w:rsid w:val="48DB4BE2"/>
    <w:rsid w:val="4A4B6EDA"/>
    <w:rsid w:val="50191ED3"/>
    <w:rsid w:val="501F4F53"/>
    <w:rsid w:val="54226B0B"/>
    <w:rsid w:val="562C2C6E"/>
    <w:rsid w:val="567C2357"/>
    <w:rsid w:val="577B30F6"/>
    <w:rsid w:val="5A9D1A52"/>
    <w:rsid w:val="5DD36391"/>
    <w:rsid w:val="5E070928"/>
    <w:rsid w:val="61FF7B53"/>
    <w:rsid w:val="63E6250C"/>
    <w:rsid w:val="6E9B2339"/>
    <w:rsid w:val="6F602C29"/>
    <w:rsid w:val="708945D9"/>
    <w:rsid w:val="721B32D8"/>
    <w:rsid w:val="745C44FA"/>
    <w:rsid w:val="74FC6F56"/>
    <w:rsid w:val="75AD6E6B"/>
    <w:rsid w:val="79465A41"/>
    <w:rsid w:val="7AEB1A21"/>
    <w:rsid w:val="7B33020B"/>
    <w:rsid w:val="7B4175C0"/>
    <w:rsid w:val="7CAF565B"/>
    <w:rsid w:val="B96697A9"/>
    <w:rsid w:val="BA7B23C6"/>
    <w:rsid w:val="FDF72D62"/>
    <w:rsid w:val="FE5EA3B5"/>
    <w:rsid w:val="FE734873"/>
    <w:rsid w:val="FF87F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Normal Indent"/>
    <w:basedOn w:val="1"/>
    <w:qFormat/>
    <w:uiPriority w:val="0"/>
    <w:pPr>
      <w:ind w:firstLine="420" w:firstLineChars="200"/>
    </w:pPr>
  </w:style>
  <w:style w:type="paragraph" w:styleId="4">
    <w:name w:val="Body Text"/>
    <w:basedOn w:val="1"/>
    <w:next w:val="1"/>
    <w:qFormat/>
    <w:uiPriority w:val="0"/>
    <w:pPr>
      <w:widowControl/>
      <w:snapToGrid w:val="0"/>
      <w:spacing w:before="60" w:after="160" w:line="259" w:lineRule="auto"/>
      <w:ind w:right="113"/>
    </w:pPr>
    <w:rPr>
      <w:kern w:val="0"/>
      <w:sz w:val="18"/>
      <w:szCs w:val="20"/>
    </w:rPr>
  </w:style>
  <w:style w:type="paragraph" w:styleId="5">
    <w:name w:val="Plain Text"/>
    <w:basedOn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table" w:styleId="8">
    <w:name w:val="Table Grid"/>
    <w:basedOn w:val="7"/>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样式 标题 1 + 四号 段前: 0 磅 段后: 0 磅 行距: 1.5 倍行距"/>
    <w:basedOn w:val="11"/>
    <w:next w:val="1"/>
    <w:qFormat/>
    <w:uiPriority w:val="0"/>
    <w:pPr>
      <w:keepLines/>
      <w:spacing w:before="340" w:after="330"/>
      <w:jc w:val="center"/>
    </w:pPr>
    <w:rPr>
      <w:rFonts w:ascii="Calibri" w:hAnsi="黑体"/>
      <w:b/>
      <w:kern w:val="44"/>
      <w:sz w:val="21"/>
      <w:szCs w:val="24"/>
    </w:rPr>
  </w:style>
  <w:style w:type="paragraph" w:customStyle="1" w:styleId="11">
    <w:name w:val="1正文"/>
    <w:basedOn w:val="1"/>
    <w:semiHidden/>
    <w:qFormat/>
    <w:uiPriority w:val="0"/>
    <w:pPr>
      <w:spacing w:line="500" w:lineRule="exact"/>
      <w:ind w:firstLine="588" w:firstLineChars="196"/>
    </w:pPr>
    <w:rPr>
      <w:rFonts w:ascii="Calibri" w:hAnsi="Calibri" w:eastAsia="楷体_GB2312" w:cs="Times New Roman"/>
      <w:kern w:val="2"/>
      <w:sz w:val="30"/>
      <w:szCs w:val="30"/>
    </w:rPr>
  </w:style>
  <w:style w:type="paragraph" w:customStyle="1" w:styleId="12">
    <w:name w:val="正文（源通）"/>
    <w:basedOn w:val="1"/>
    <w:qFormat/>
    <w:uiPriority w:val="0"/>
    <w:pPr>
      <w:widowControl w:val="0"/>
      <w:spacing w:line="500" w:lineRule="exact"/>
      <w:ind w:firstLine="480" w:firstLineChars="200"/>
    </w:pPr>
    <w:rPr>
      <w:rFonts w:ascii="Times New Roman" w:hAnsi="Times New Roman" w:eastAsia="Times New Roman" w:cs="Times New Roman"/>
      <w:color w:val="FF0000"/>
    </w:rPr>
  </w:style>
  <w:style w:type="paragraph" w:customStyle="1" w:styleId="13">
    <w:name w:val="我的正文"/>
    <w:basedOn w:val="1"/>
    <w:qFormat/>
    <w:uiPriority w:val="0"/>
    <w:pPr>
      <w:adjustRightInd w:val="0"/>
      <w:snapToGrid w:val="0"/>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2023-08-18T15:50:00Z</dcterms:created>
  <dc:creator>スーパーサイヤ人の神</dc:creator>
  <cp:lastModifiedBy>决眦</cp:lastModifiedBy>
  <cp:lastPrinted>2024-01-26T09:41:00Z</cp:lastPrinted>
  <dcterms:modified xsi:type="dcterms:W3CDTF">2024-03-12T06:48:58Z</dcterms:modified>
  <dc:title>临沧市生态环境局文件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A417CB5FCCB94175B1E83CDDF3107627_13</vt:lpwstr>
  </property>
</Properties>
</file>