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default" w:ascii="Times New Roman" w:hAnsi="Times New Roman" w:eastAsia="仿宋" w:cs="Times New Roman"/>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default" w:ascii="Times New Roman" w:hAnsi="Times New Roman" w:eastAsia="仿宋" w:cs="Times New Roman"/>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default" w:ascii="Times New Roman" w:hAnsi="Times New Roman" w:eastAsia="仿宋" w:cs="Times New Roman"/>
          <w:b/>
          <w:bCs/>
          <w:color w:val="FF0000"/>
          <w:w w:val="90"/>
          <w:kern w:val="16"/>
          <w:sz w:val="32"/>
          <w:szCs w:val="32"/>
        </w:rPr>
      </w:pPr>
    </w:p>
    <w:p>
      <w:pPr>
        <w:jc w:val="distribute"/>
        <w:rPr>
          <w:rFonts w:hint="default" w:ascii="Times New Roman" w:hAnsi="Times New Roman" w:eastAsia="方正小标宋_GBK" w:cs="Times New Roman"/>
          <w:b/>
          <w:bCs/>
          <w:color w:val="FF0000"/>
          <w:sz w:val="32"/>
          <w:szCs w:val="32"/>
        </w:rPr>
      </w:pPr>
      <w:r>
        <w:rPr>
          <w:rFonts w:hint="default" w:ascii="Times New Roman" w:hAnsi="Times New Roman" w:eastAsia="方正小标宋_GBK" w:cs="Times New Roman"/>
          <w:b/>
          <w:bCs/>
          <w:color w:val="FF0000"/>
          <w:w w:val="90"/>
          <w:kern w:val="16"/>
          <w:sz w:val="84"/>
          <w:szCs w:val="84"/>
        </w:rPr>
        <w:t>临沧市生态环境局文件</w:t>
      </w:r>
    </w:p>
    <w:p>
      <w:pPr>
        <w:spacing w:line="0" w:lineRule="atLeast"/>
        <w:ind w:firstLine="1600" w:firstLineChars="800"/>
        <w:rPr>
          <w:rFonts w:hint="default" w:ascii="Times New Roman" w:hAnsi="Times New Roman" w:eastAsia="仿宋_GB2312" w:cs="Times New Roman"/>
          <w:sz w:val="20"/>
          <w:szCs w:val="20"/>
        </w:rPr>
      </w:pPr>
    </w:p>
    <w:p>
      <w:pPr>
        <w:spacing w:line="0" w:lineRule="atLeast"/>
        <w:jc w:val="center"/>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临环审〔202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号</w:t>
      </w:r>
    </w:p>
    <w:p>
      <w:pPr>
        <w:spacing w:line="0" w:lineRule="atLeast"/>
        <w:jc w:val="center"/>
        <w:rPr>
          <w:rFonts w:hint="default" w:ascii="Times New Roman" w:hAnsi="Times New Roman" w:cs="Times New Roman"/>
          <w:sz w:val="32"/>
          <w:szCs w:val="32"/>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107315</wp:posOffset>
                </wp:positionV>
                <wp:extent cx="5715000" cy="0"/>
                <wp:effectExtent l="0" t="13970" r="0" b="24130"/>
                <wp:wrapNone/>
                <wp:docPr id="7" name="直接连接符 7"/>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thickThin">
                          <a:solidFill>
                            <a:srgbClr val="FF0000"/>
                          </a:solidFill>
                          <a:prstDash val="solid"/>
                          <a:round/>
                          <a:headEnd type="none" w="med" len="med"/>
                          <a:tailEnd type="none" w="med" len="med"/>
                        </a:ln>
                        <a:effectLst/>
                      </wps:spPr>
                      <wps:bodyPr upright="true"/>
                    </wps:wsp>
                  </a:graphicData>
                </a:graphic>
              </wp:anchor>
            </w:drawing>
          </mc:Choice>
          <mc:Fallback>
            <w:pict>
              <v:line id="_x0000_s1026" o:spid="_x0000_s1026" o:spt="20" style="position:absolute;left:0pt;margin-left:-1.9pt;margin-top:8.45pt;height:0pt;width:450pt;z-index:251660288;mso-width-relative:page;mso-height-relative:page;" filled="f" stroked="t" coordsize="21600,21600" o:gfxdata="UEsFBgAAAAAAAAAAAAAAAAAAAAAAAFBLAwQKAAAAAACHTuJAAAAAAAAAAAAAAAAABAAAAGRycy9Q&#10;SwMEFAAAAAgAh07iQKptlsrVAAAACAEAAA8AAABkcnMvZG93bnJldi54bWxNj8FOwzAQRO9I/Qdr&#10;K3Fr7RQpSkOcHlpxQJwoFK7b2CRR43Vku0379yziAMeZWc28rTZXN4iLDbH3pCFbKhCWGm96ajW8&#10;vz0tChAxIRkcPFkNNxthU8/uKiyNn+jVXvapFVxCsUQNXUpjKWVsOuswLv1oibMvHxwmlqGVJuDE&#10;5W6QK6Vy6bAnXuhwtNvONqf92Wl4fsk+cLc7FCcVJq/M5y3301br+3mmHkEke01/x/CDz+hQM9PR&#10;n8lEMWhYPDB5Yj9fg+C8WOcrEMdfQ9aV/P9A/Q1QSwMEFAAAAAgAh07iQPg4YXjtAQAAuAMAAA4A&#10;AABkcnMvZTJvRG9jLnhtbK1TS44TMRDdI3EHy3vSnUgho1Y6s5gQNggiMRygYrvTFv6p7KSTS3AB&#10;JHawYsme2zAcg7KTyfDZIMSmuuyqrqr36nl+fbCG7RVG7V3Lx6OaM+WEl9ptW/7mdvXkirOYwEkw&#10;3qmWH1Xk14vHj+ZDaNTE995IhYyKuNgMoeV9SqGpqih6ZSGOfFCOgp1HC4mOuK0kwkDVrakmdf20&#10;GjzKgF6oGOl2eQryRanfdUqkV10XVWKm5TRbKhaL3WRbLebQbBFCr8V5DPiHKSxoR00vpZaQgO1Q&#10;/1HKaoE++i6NhLeV7zotVMFAaMb1b2he9xBUwULkxHChKf6/suLlfo1My5bPOHNgaUV37798e/fx&#10;+9cPZO8+f2KzTNIQYkO5N26N51MMa8yIDx3a/CUs7FCIPV6IVYfEBF1OZ+NpXRP/4j5WPfwYMKbn&#10;yluWnZYb7TJmaGD/IiZqRqn3KfnaODa0fHI1nU2pHpBmOgOJXBsIRaI9vr3tz9uI3mi50sbkHyNu&#10;NzcG2R5IC6sVzVPWT+V/Scu9lhD7U14JnVSCfudk0UuvQD5zkqVjIL4cCZvnmaySnBlF7yB7JTOB&#10;Nn+TSUMYl4dURbNn4Jn0E83Z23h5pF3tAuptT0Ql3KncpcpBkkdh6izlrL+fzyXr4cEt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qbZbK1QAAAAgBAAAPAAAAAAAAAAEAIAAAADgAAABkcnMvZG93&#10;bnJldi54bWxQSwECFAAUAAAACACHTuJA+DhheO0BAAC4AwAADgAAAAAAAAABACAAAAA6AQAAZHJz&#10;L2Uyb0RvYy54bWxQSwUGAAAAAAYABgBZAQAAmQUAAAAA&#10;">
                <v:fill on="f" focussize="0,0"/>
                <v:stroke weight="2.25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sz w:val="44"/>
          <w:szCs w:val="44"/>
          <w:lang w:val="en-US" w:eastAsia="zh-CN"/>
        </w:rPr>
        <w:t>临沧市生态环境局关于耿马县生猪定点屠宰场搬迁项目环境影响报告书的批复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耿马县生猪定点屠宰场</w:t>
      </w:r>
      <w:r>
        <w:rPr>
          <w:rFonts w:hint="default" w:ascii="Times New Roman" w:hAnsi="Times New Roman" w:eastAsia="仿宋_GB2312" w:cs="Times New Roman"/>
          <w:sz w:val="32"/>
          <w:szCs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你公司申请报批的《</w:t>
      </w:r>
      <w:r>
        <w:rPr>
          <w:rFonts w:hint="default" w:ascii="Times New Roman" w:hAnsi="Times New Roman" w:eastAsia="仿宋_GB2312" w:cs="Times New Roman"/>
          <w:sz w:val="32"/>
          <w:szCs w:val="32"/>
          <w:lang w:val="en-US" w:eastAsia="zh-CN"/>
        </w:rPr>
        <w:t>耿马县生猪定点屠宰场搬迁项目环境影响报告书</w:t>
      </w:r>
      <w:r>
        <w:rPr>
          <w:rFonts w:hint="default" w:ascii="Times New Roman" w:hAnsi="Times New Roman" w:eastAsia="仿宋_GB2312" w:cs="Times New Roman"/>
          <w:sz w:val="32"/>
          <w:szCs w:val="32"/>
        </w:rPr>
        <w:t>》（以下简称《</w:t>
      </w:r>
      <w:r>
        <w:rPr>
          <w:rFonts w:hint="default" w:ascii="Times New Roman" w:hAnsi="Times New Roman" w:eastAsia="仿宋_GB2312" w:cs="Times New Roman"/>
          <w:sz w:val="32"/>
          <w:szCs w:val="32"/>
          <w:lang w:eastAsia="zh-CN"/>
        </w:rPr>
        <w:t>报告书</w:t>
      </w:r>
      <w:r>
        <w:rPr>
          <w:rFonts w:hint="default" w:ascii="Times New Roman" w:hAnsi="Times New Roman" w:eastAsia="仿宋_GB2312" w:cs="Times New Roman"/>
          <w:sz w:val="32"/>
          <w:szCs w:val="32"/>
        </w:rPr>
        <w:t>》）收悉。现批复如下：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一、项目基本信息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该项目位于临沧市耿马傣族佤族自治县耿马绿色食品工业园区十二号厂房</w:t>
      </w:r>
      <w:r>
        <w:rPr>
          <w:rFonts w:hint="default" w:ascii="Times New Roman" w:hAnsi="Times New Roman" w:eastAsia="仿宋_GB2312" w:cs="Times New Roman"/>
          <w:color w:val="auto"/>
          <w:sz w:val="32"/>
          <w:szCs w:val="32"/>
        </w:rPr>
        <w:t>，中心</w:t>
      </w:r>
      <w:r>
        <w:rPr>
          <w:rFonts w:hint="default" w:ascii="Times New Roman" w:hAnsi="Times New Roman" w:eastAsia="仿宋_GB2312" w:cs="Times New Roman"/>
          <w:color w:val="auto"/>
          <w:sz w:val="32"/>
          <w:szCs w:val="32"/>
          <w:lang w:eastAsia="zh-CN"/>
        </w:rPr>
        <w:t>位置</w:t>
      </w:r>
      <w:r>
        <w:rPr>
          <w:rFonts w:hint="default" w:ascii="Times New Roman" w:hAnsi="Times New Roman" w:eastAsia="仿宋_GB2312" w:cs="Times New Roman"/>
          <w:color w:val="auto"/>
          <w:sz w:val="32"/>
          <w:szCs w:val="32"/>
        </w:rPr>
        <w:t>地理坐标为东经</w:t>
      </w:r>
      <w:r>
        <w:rPr>
          <w:rFonts w:hint="default" w:ascii="Times New Roman" w:hAnsi="Times New Roman" w:eastAsia="仿宋_GB2312" w:cs="Times New Roman"/>
          <w:color w:val="auto"/>
          <w:sz w:val="32"/>
          <w:szCs w:val="32"/>
          <w:lang w:val="en-US" w:eastAsia="zh-CN"/>
        </w:rPr>
        <w:t>99°25′21.604</w:t>
      </w:r>
      <w:r>
        <w:rPr>
          <w:rFonts w:hint="default" w:ascii="Times New Roman" w:hAnsi="Times New Roman" w:eastAsia="仿宋_GB2312" w:cs="Times New Roman"/>
          <w:color w:val="auto"/>
          <w:sz w:val="32"/>
          <w:szCs w:val="32"/>
        </w:rPr>
        <w:t>"，北纬</w:t>
      </w:r>
      <w:r>
        <w:rPr>
          <w:rFonts w:hint="default" w:ascii="Times New Roman" w:hAnsi="Times New Roman" w:eastAsia="仿宋_GB2312" w:cs="Times New Roman"/>
          <w:color w:val="auto"/>
          <w:sz w:val="32"/>
          <w:szCs w:val="32"/>
          <w:lang w:val="en-US" w:eastAsia="zh-CN"/>
        </w:rPr>
        <w:t>23°32′59.401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。项目占地面积2930.48</w:t>
      </w:r>
      <w:r>
        <w:rPr>
          <w:rFonts w:hint="default" w:ascii="Times New Roman" w:hAnsi="Times New Roman" w:eastAsia="仿宋_GB2312" w:cs="Times New Roman"/>
          <w:color w:val="auto"/>
          <w:sz w:val="32"/>
          <w:szCs w:val="32"/>
          <w:lang w:val="en-US" w:eastAsia="zh-CN"/>
        </w:rPr>
        <w:t>m²</w:t>
      </w:r>
      <w:r>
        <w:rPr>
          <w:rFonts w:hint="default" w:ascii="Times New Roman" w:hAnsi="Times New Roman" w:eastAsia="仿宋_GB2312" w:cs="Times New Roman"/>
          <w:color w:val="auto"/>
          <w:sz w:val="32"/>
          <w:szCs w:val="32"/>
          <w:lang w:eastAsia="zh-CN"/>
        </w:rPr>
        <w:t>，总建筑面积5860.96</w:t>
      </w:r>
      <w:r>
        <w:rPr>
          <w:rFonts w:hint="default" w:ascii="Times New Roman" w:hAnsi="Times New Roman" w:eastAsia="仿宋_GB2312" w:cs="Times New Roman"/>
          <w:color w:val="auto"/>
          <w:sz w:val="32"/>
          <w:szCs w:val="32"/>
          <w:lang w:val="en-US" w:eastAsia="zh-CN"/>
        </w:rPr>
        <w:t>m²</w:t>
      </w:r>
      <w:r>
        <w:rPr>
          <w:rFonts w:hint="default" w:ascii="Times New Roman" w:hAnsi="Times New Roman" w:eastAsia="仿宋_GB2312" w:cs="Times New Roman"/>
          <w:color w:val="auto"/>
          <w:sz w:val="32"/>
          <w:szCs w:val="32"/>
          <w:lang w:eastAsia="zh-CN"/>
        </w:rPr>
        <w:t>，主要建设内容为厂房一层</w:t>
      </w:r>
      <w:r>
        <w:rPr>
          <w:rFonts w:hint="default" w:ascii="Times New Roman" w:hAnsi="Times New Roman" w:eastAsia="仿宋_GB2312" w:cs="Times New Roman"/>
          <w:color w:val="auto"/>
          <w:sz w:val="32"/>
          <w:szCs w:val="32"/>
        </w:rPr>
        <w:t>建设生猪屠宰加工车间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牛屠宰加工车间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无害化处理车间</w:t>
      </w:r>
      <w:r>
        <w:rPr>
          <w:rFonts w:hint="default" w:ascii="Times New Roman" w:hAnsi="Times New Roman" w:eastAsia="仿宋_GB2312" w:cs="Times New Roman"/>
          <w:color w:val="auto"/>
          <w:sz w:val="32"/>
          <w:szCs w:val="32"/>
          <w:lang w:val="en-US" w:eastAsia="zh-CN"/>
        </w:rPr>
        <w:t>、污水处理站及消毒池等，厂房二层设</w:t>
      </w:r>
      <w:r>
        <w:rPr>
          <w:rFonts w:hint="default" w:ascii="Times New Roman" w:hAnsi="Times New Roman" w:eastAsia="仿宋_GB2312" w:cs="Times New Roman"/>
          <w:color w:val="auto"/>
          <w:sz w:val="32"/>
          <w:szCs w:val="32"/>
        </w:rPr>
        <w:t>检疫检验办公区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办公综合管理区</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餐厨</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休息区。建成后年屠宰生猪15万头、牛0.5万头。项目总投资1833.56</w:t>
      </w:r>
      <w:r>
        <w:rPr>
          <w:rFonts w:hint="default" w:ascii="Times New Roman" w:hAnsi="Times New Roman" w:eastAsia="仿宋_GB2312" w:cs="Times New Roman"/>
          <w:color w:val="auto"/>
          <w:sz w:val="32"/>
          <w:szCs w:val="32"/>
        </w:rPr>
        <w:t>万元，其中环保投资</w:t>
      </w:r>
      <w:r>
        <w:rPr>
          <w:rFonts w:hint="default" w:ascii="Times New Roman" w:hAnsi="Times New Roman" w:eastAsia="仿宋_GB2312" w:cs="Times New Roman"/>
          <w:color w:val="auto"/>
          <w:sz w:val="32"/>
          <w:szCs w:val="32"/>
          <w:lang w:eastAsia="zh-CN"/>
        </w:rPr>
        <w:t>209.3</w:t>
      </w:r>
      <w:r>
        <w:rPr>
          <w:rFonts w:hint="default" w:ascii="Times New Roman" w:hAnsi="Times New Roman" w:eastAsia="仿宋_GB2312" w:cs="Times New Roman"/>
          <w:color w:val="auto"/>
          <w:sz w:val="32"/>
          <w:szCs w:val="32"/>
        </w:rPr>
        <w:t>万元，占总投资</w:t>
      </w:r>
      <w:r>
        <w:rPr>
          <w:rFonts w:hint="default" w:ascii="Times New Roman" w:hAnsi="Times New Roman" w:eastAsia="仿宋_GB2312" w:cs="Times New Roman"/>
          <w:color w:val="auto"/>
          <w:sz w:val="32"/>
          <w:szCs w:val="32"/>
          <w:lang w:eastAsia="zh-CN"/>
        </w:rPr>
        <w:t>比例11.4%</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该《</w:t>
      </w:r>
      <w:r>
        <w:rPr>
          <w:rFonts w:hint="default" w:ascii="Times New Roman" w:hAnsi="Times New Roman" w:eastAsia="仿宋_GB2312" w:cs="Times New Roman"/>
          <w:color w:val="auto"/>
          <w:sz w:val="32"/>
          <w:szCs w:val="32"/>
          <w:lang w:eastAsia="zh-CN"/>
        </w:rPr>
        <w:t>报告书</w:t>
      </w:r>
      <w:r>
        <w:rPr>
          <w:rFonts w:hint="default" w:ascii="Times New Roman" w:hAnsi="Times New Roman" w:eastAsia="仿宋_GB2312" w:cs="Times New Roman"/>
          <w:color w:val="auto"/>
          <w:sz w:val="32"/>
          <w:szCs w:val="32"/>
        </w:rPr>
        <w:t>》可作为该项目环境保护设计、建设、验收和运行环境管理的依据。项目建设符合国家及云南省对建设项目环境影响评价文件审批的有关规定，不存在工程建设的重大环境制约因素，</w:t>
      </w:r>
      <w:r>
        <w:rPr>
          <w:rFonts w:hint="default" w:ascii="Times New Roman" w:hAnsi="Times New Roman" w:eastAsia="仿宋_GB2312" w:cs="Times New Roman"/>
          <w:color w:val="auto"/>
          <w:sz w:val="32"/>
          <w:szCs w:val="32"/>
          <w:lang w:eastAsia="zh-CN"/>
        </w:rPr>
        <w:t>市生态环境局</w:t>
      </w:r>
      <w:r>
        <w:rPr>
          <w:rFonts w:hint="default" w:ascii="Times New Roman" w:hAnsi="Times New Roman" w:eastAsia="仿宋_GB2312" w:cs="Times New Roman"/>
          <w:color w:val="auto"/>
          <w:sz w:val="32"/>
          <w:szCs w:val="32"/>
        </w:rPr>
        <w:t>同意按照《</w:t>
      </w:r>
      <w:r>
        <w:rPr>
          <w:rFonts w:hint="default" w:ascii="Times New Roman" w:hAnsi="Times New Roman" w:eastAsia="仿宋_GB2312" w:cs="Times New Roman"/>
          <w:color w:val="auto"/>
          <w:sz w:val="32"/>
          <w:szCs w:val="32"/>
          <w:lang w:eastAsia="zh-CN"/>
        </w:rPr>
        <w:t>报告书</w:t>
      </w:r>
      <w:r>
        <w:rPr>
          <w:rFonts w:hint="default" w:ascii="Times New Roman" w:hAnsi="Times New Roman" w:eastAsia="仿宋_GB2312" w:cs="Times New Roman"/>
          <w:color w:val="auto"/>
          <w:sz w:val="32"/>
          <w:szCs w:val="32"/>
        </w:rPr>
        <w:t>》所述的环境保护对策措施方案建设。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二、项目建设和生产过程中应当做好的工作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pacing w:val="0"/>
          <w:sz w:val="32"/>
          <w:szCs w:val="32"/>
          <w:lang w:eastAsia="zh-CN"/>
        </w:rPr>
        <w:t>请</w:t>
      </w:r>
      <w:r>
        <w:rPr>
          <w:rFonts w:hint="default" w:ascii="Times New Roman" w:hAnsi="Times New Roman" w:eastAsia="仿宋_GB2312" w:cs="Times New Roman"/>
          <w:color w:val="auto"/>
          <w:spacing w:val="0"/>
          <w:sz w:val="32"/>
          <w:szCs w:val="32"/>
          <w:lang w:val="en-US" w:eastAsia="zh-CN"/>
        </w:rPr>
        <w:t>你公司</w:t>
      </w:r>
      <w:r>
        <w:rPr>
          <w:rFonts w:hint="default" w:ascii="Times New Roman" w:hAnsi="Times New Roman" w:eastAsia="仿宋_GB2312" w:cs="Times New Roman"/>
          <w:color w:val="auto"/>
          <w:spacing w:val="0"/>
          <w:sz w:val="32"/>
          <w:szCs w:val="32"/>
          <w:lang w:eastAsia="zh-CN"/>
        </w:rPr>
        <w:t>严格对照《报告书》提出的各项污染防治措施及要求落实。</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b w:val="0"/>
          <w:bCs w:val="0"/>
          <w:sz w:val="32"/>
          <w:szCs w:val="32"/>
        </w:rPr>
        <w:t>项目建设必须严格执行</w:t>
      </w:r>
      <w:r>
        <w:rPr>
          <w:rFonts w:hint="default" w:ascii="Times New Roman" w:hAnsi="Times New Roman" w:eastAsia="仿宋_GB2312" w:cs="Times New Roman"/>
          <w:color w:val="auto"/>
          <w:sz w:val="32"/>
          <w:szCs w:val="32"/>
          <w:lang w:val="en-US" w:eastAsia="zh-CN"/>
        </w:rPr>
        <w:t>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临沧市生态环境局重新审核。</w:t>
      </w:r>
    </w:p>
    <w:p>
      <w:pPr>
        <w:pStyle w:val="2"/>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pacing w:val="0"/>
          <w:sz w:val="32"/>
          <w:szCs w:val="32"/>
          <w:lang w:eastAsia="zh-CN"/>
        </w:rPr>
        <w:t>请</w:t>
      </w:r>
      <w:r>
        <w:rPr>
          <w:rFonts w:hint="default" w:ascii="Times New Roman" w:hAnsi="Times New Roman" w:eastAsia="仿宋_GB2312" w:cs="Times New Roman"/>
          <w:color w:val="auto"/>
          <w:spacing w:val="0"/>
          <w:sz w:val="32"/>
          <w:szCs w:val="32"/>
          <w:lang w:val="en-US" w:eastAsia="zh-CN"/>
        </w:rPr>
        <w:t>你公司严格</w:t>
      </w:r>
      <w:r>
        <w:rPr>
          <w:rFonts w:hint="default" w:ascii="Times New Roman" w:hAnsi="Times New Roman" w:eastAsia="仿宋_GB2312" w:cs="Times New Roman"/>
          <w:color w:val="auto"/>
          <w:sz w:val="32"/>
          <w:szCs w:val="32"/>
          <w:lang w:val="en-US" w:eastAsia="zh-CN"/>
        </w:rPr>
        <w:t>按照《突发环境事件应急预案管理暂行办法》的要求，强化环境风险管理，制定环境风险应急预案并报市生态环境局耿马分局备案；落实各项环境风险防范和应急处置设施（措施），做好日常环境应急演练和培训，开展环境监测，保障环境安全。</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kern w:val="0"/>
          <w:sz w:val="32"/>
          <w:szCs w:val="32"/>
          <w:lang w:val="en-US" w:eastAsia="zh-CN" w:bidi="ar-SA"/>
        </w:rPr>
        <w:t>（五）</w:t>
      </w:r>
      <w:r>
        <w:rPr>
          <w:rFonts w:hint="default" w:ascii="Times New Roman" w:hAnsi="Times New Roman" w:eastAsia="仿宋_GB2312" w:cs="Times New Roman"/>
          <w:color w:val="auto"/>
          <w:sz w:val="32"/>
          <w:szCs w:val="32"/>
          <w:lang w:val="en-US" w:eastAsia="zh-CN"/>
        </w:rPr>
        <w:t>项目竣工后，</w:t>
      </w:r>
      <w:r>
        <w:rPr>
          <w:rFonts w:hint="default" w:ascii="Times New Roman" w:hAnsi="Times New Roman" w:eastAsia="仿宋_GB2312" w:cs="Times New Roman"/>
          <w:color w:val="auto"/>
          <w:spacing w:val="0"/>
          <w:sz w:val="32"/>
          <w:szCs w:val="32"/>
          <w:lang w:eastAsia="zh-CN"/>
        </w:rPr>
        <w:t>请</w:t>
      </w:r>
      <w:r>
        <w:rPr>
          <w:rFonts w:hint="default" w:ascii="Times New Roman" w:hAnsi="Times New Roman" w:eastAsia="仿宋_GB2312" w:cs="Times New Roman"/>
          <w:color w:val="auto"/>
          <w:spacing w:val="0"/>
          <w:sz w:val="32"/>
          <w:szCs w:val="32"/>
          <w:lang w:val="en-US" w:eastAsia="zh-CN"/>
        </w:rPr>
        <w:t>你公司</w:t>
      </w:r>
      <w:r>
        <w:rPr>
          <w:rFonts w:hint="default" w:ascii="Times New Roman" w:hAnsi="Times New Roman" w:eastAsia="仿宋_GB2312" w:cs="Times New Roman"/>
          <w:color w:val="auto"/>
          <w:sz w:val="32"/>
          <w:szCs w:val="32"/>
          <w:lang w:val="en-US" w:eastAsia="zh-CN"/>
        </w:rPr>
        <w:t>严格按照《建设项目竣工环境保护验收暂行办法》有关规定，组织对配套建设的环境保护设施进行验收，并将相关信息向社会公开，同时将上述信息报送市生态环境局耿马分局。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pacing w:val="0"/>
          <w:sz w:val="32"/>
          <w:szCs w:val="32"/>
          <w:lang w:eastAsia="zh-CN"/>
        </w:rPr>
        <w:t>请</w:t>
      </w:r>
      <w:r>
        <w:rPr>
          <w:rFonts w:hint="default" w:ascii="Times New Roman" w:hAnsi="Times New Roman" w:eastAsia="仿宋_GB2312" w:cs="Times New Roman"/>
          <w:color w:val="auto"/>
          <w:spacing w:val="0"/>
          <w:sz w:val="32"/>
          <w:szCs w:val="32"/>
          <w:lang w:val="en-US" w:eastAsia="zh-CN"/>
        </w:rPr>
        <w:t>你</w:t>
      </w:r>
      <w:r>
        <w:rPr>
          <w:rFonts w:hint="default" w:ascii="Times New Roman" w:hAnsi="Times New Roman" w:eastAsia="仿宋_GB2312" w:cs="Times New Roman"/>
          <w:color w:val="auto"/>
          <w:sz w:val="32"/>
          <w:szCs w:val="32"/>
          <w:lang w:eastAsia="zh-CN"/>
        </w:rPr>
        <w:t>公司</w:t>
      </w:r>
      <w:r>
        <w:rPr>
          <w:rFonts w:hint="default" w:ascii="Times New Roman" w:hAnsi="Times New Roman" w:eastAsia="仿宋_GB2312" w:cs="Times New Roman"/>
          <w:color w:val="auto"/>
          <w:spacing w:val="0"/>
          <w:sz w:val="32"/>
          <w:szCs w:val="32"/>
          <w:lang w:val="en-US" w:eastAsia="zh-CN"/>
        </w:rPr>
        <w:t>在</w:t>
      </w:r>
      <w:r>
        <w:rPr>
          <w:rFonts w:hint="default" w:ascii="Times New Roman" w:hAnsi="Times New Roman" w:eastAsia="仿宋_GB2312" w:cs="Times New Roman"/>
          <w:kern w:val="0"/>
          <w:sz w:val="32"/>
          <w:szCs w:val="32"/>
          <w:lang w:val="en-US" w:eastAsia="zh-CN" w:bidi="ar-SA"/>
        </w:rPr>
        <w:t>启动生产设施或者发生实际排污行为之前依法申请取得排污许可证，未取得排污许可证前，不得</w:t>
      </w:r>
      <w:r>
        <w:rPr>
          <w:rFonts w:hint="default" w:ascii="Times New Roman" w:hAnsi="Times New Roman" w:eastAsia="仿宋_GB2312" w:cs="Times New Roman"/>
          <w:color w:val="auto"/>
          <w:sz w:val="32"/>
          <w:szCs w:val="32"/>
          <w:lang w:val="en-US" w:eastAsia="zh-CN"/>
        </w:rPr>
        <w:t>排污。</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（七）市</w:t>
      </w:r>
      <w:r>
        <w:rPr>
          <w:rFonts w:hint="default" w:ascii="Times New Roman" w:hAnsi="Times New Roman" w:eastAsia="仿宋_GB2312" w:cs="Times New Roman"/>
          <w:sz w:val="32"/>
          <w:szCs w:val="32"/>
        </w:rPr>
        <w:t>生态环境局</w:t>
      </w:r>
      <w:r>
        <w:rPr>
          <w:rFonts w:hint="default" w:ascii="Times New Roman" w:hAnsi="Times New Roman" w:eastAsia="仿宋_GB2312" w:cs="Times New Roman"/>
          <w:sz w:val="32"/>
          <w:szCs w:val="32"/>
          <w:lang w:val="en-US" w:eastAsia="zh-CN"/>
        </w:rPr>
        <w:t>耿马</w:t>
      </w:r>
      <w:r>
        <w:rPr>
          <w:rFonts w:hint="default" w:ascii="Times New Roman" w:hAnsi="Times New Roman" w:eastAsia="仿宋_GB2312" w:cs="Times New Roman"/>
          <w:sz w:val="32"/>
          <w:szCs w:val="32"/>
        </w:rPr>
        <w:t>分局要切实履行属地监管职责，按照相关法律法规及《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临沧市生态环境局</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default" w:ascii="Times New Roman" w:hAnsi="Times New Roman" w:eastAsia="仿宋_GB2312" w:cs="Times New Roman"/>
          <w:highlight w:val="yellow"/>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18</w:t>
      </w:r>
      <w:r>
        <w:rPr>
          <w:rFonts w:hint="default" w:ascii="Times New Roman" w:hAnsi="Times New Roman" w:eastAsia="仿宋_GB2312" w:cs="Times New Roman"/>
          <w:sz w:val="32"/>
          <w:szCs w:val="32"/>
          <w:highlight w:val="none"/>
        </w:rPr>
        <w:t>日</w:t>
      </w:r>
    </w:p>
    <w:p>
      <w:pPr>
        <w:rPr>
          <w:rFonts w:hint="default" w:ascii="Times New Roman" w:hAnsi="Times New Roman" w:eastAsia="仿宋_GB2312" w:cs="Times New Roman"/>
        </w:rPr>
      </w:pPr>
    </w:p>
    <w:p>
      <w:pPr>
        <w:pStyle w:val="3"/>
        <w:ind w:left="0" w:leftChars="0" w:firstLine="0" w:firstLineChars="0"/>
        <w:rPr>
          <w:rFonts w:hint="default" w:ascii="Times New Roman" w:hAnsi="Times New Roman" w:eastAsia="仿宋_GB2312" w:cs="Times New Roman"/>
          <w:kern w:val="2"/>
          <w:sz w:val="24"/>
          <w:szCs w:val="24"/>
          <w:lang w:val="en-US" w:eastAsia="zh-CN" w:bidi="ar-SA"/>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bl>
      <w:tblPr>
        <w:tblStyle w:val="6"/>
        <w:tblpPr w:leftFromText="180" w:rightFromText="180" w:vertAnchor="text" w:horzAnchor="page" w:tblpX="1427" w:tblpY="3964"/>
        <w:tblOverlap w:val="never"/>
        <w:tblW w:w="9173"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7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173" w:type="dxa"/>
            <w:tcBorders>
              <w:top w:val="single" w:color="auto" w:sz="4" w:space="0"/>
              <w:left w:val="nil"/>
              <w:bottom w:val="single" w:color="auto" w:sz="4" w:space="0"/>
              <w:right w:val="nil"/>
            </w:tcBorders>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1083" w:leftChars="116" w:right="0" w:hanging="840" w:hangingChars="300"/>
              <w:textAlignment w:val="auto"/>
              <w:rPr>
                <w:rFonts w:hint="default" w:ascii="Times New Roman" w:hAnsi="Times New Roman" w:eastAsia="仿宋_GB2312" w:cs="Times New Roman"/>
                <w:kern w:val="2"/>
                <w:sz w:val="21"/>
                <w:lang w:val="en-US" w:eastAsia="zh-CN"/>
              </w:rPr>
            </w:pPr>
            <w:r>
              <w:rPr>
                <w:rFonts w:hint="default" w:ascii="Times New Roman" w:hAnsi="Times New Roman" w:eastAsia="仿宋_GB2312" w:cs="Times New Roman"/>
                <w:kern w:val="0"/>
                <w:sz w:val="28"/>
                <w:szCs w:val="28"/>
              </w:rPr>
              <w:t>抄送：</w:t>
            </w:r>
            <w:r>
              <w:rPr>
                <w:rFonts w:hint="default" w:ascii="Times New Roman" w:hAnsi="Times New Roman" w:eastAsia="仿宋_GB2312" w:cs="Times New Roman"/>
                <w:kern w:val="0"/>
                <w:sz w:val="28"/>
                <w:szCs w:val="28"/>
                <w:lang w:eastAsia="zh-CN"/>
              </w:rPr>
              <w:t>市农业</w:t>
            </w:r>
            <w:r>
              <w:rPr>
                <w:rFonts w:hint="eastAsia" w:ascii="Times New Roman" w:hAnsi="Times New Roman" w:eastAsia="仿宋_GB2312" w:cs="Times New Roman"/>
                <w:kern w:val="0"/>
                <w:sz w:val="28"/>
                <w:szCs w:val="28"/>
                <w:lang w:eastAsia="zh-CN"/>
              </w:rPr>
              <w:t>农村</w:t>
            </w:r>
            <w:r>
              <w:rPr>
                <w:rFonts w:hint="default" w:ascii="Times New Roman" w:hAnsi="Times New Roman" w:eastAsia="仿宋_GB2312" w:cs="Times New Roman"/>
                <w:kern w:val="0"/>
                <w:sz w:val="28"/>
                <w:szCs w:val="28"/>
                <w:lang w:eastAsia="zh-CN"/>
              </w:rPr>
              <w:t>局，</w:t>
            </w:r>
            <w:r>
              <w:rPr>
                <w:rFonts w:hint="default" w:ascii="Times New Roman" w:hAnsi="Times New Roman" w:eastAsia="仿宋_GB2312" w:cs="Times New Roman"/>
                <w:kern w:val="0"/>
                <w:sz w:val="28"/>
                <w:szCs w:val="28"/>
              </w:rPr>
              <w:t>市生态环境局</w:t>
            </w:r>
            <w:r>
              <w:rPr>
                <w:rFonts w:hint="default" w:ascii="Times New Roman" w:hAnsi="Times New Roman" w:eastAsia="仿宋_GB2312" w:cs="Times New Roman"/>
                <w:kern w:val="0"/>
                <w:sz w:val="28"/>
                <w:szCs w:val="28"/>
                <w:lang w:val="en-US" w:eastAsia="zh-CN"/>
              </w:rPr>
              <w:t>各科、室、支队、中心、站、耿马</w:t>
            </w:r>
            <w:r>
              <w:rPr>
                <w:rFonts w:hint="default" w:ascii="Times New Roman" w:hAnsi="Times New Roman" w:eastAsia="仿宋_GB2312" w:cs="Times New Roman"/>
                <w:kern w:val="0"/>
                <w:sz w:val="28"/>
                <w:szCs w:val="28"/>
              </w:rPr>
              <w:t>分局</w:t>
            </w:r>
            <w:r>
              <w:rPr>
                <w:rFonts w:hint="default" w:ascii="Times New Roman" w:hAnsi="Times New Roman" w:eastAsia="仿宋_GB2312" w:cs="Times New Roman"/>
                <w:kern w:val="0"/>
                <w:sz w:val="28"/>
                <w:szCs w:val="28"/>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173" w:type="dxa"/>
            <w:tcBorders>
              <w:top w:val="single" w:color="auto" w:sz="4" w:space="0"/>
              <w:left w:val="nil"/>
              <w:bottom w:val="single" w:color="auto" w:sz="4" w:space="0"/>
              <w:right w:val="nil"/>
            </w:tcBorders>
          </w:tcPr>
          <w:p>
            <w:pPr>
              <w:keepNext w:val="0"/>
              <w:keepLines w:val="0"/>
              <w:suppressLineNumbers w:val="0"/>
              <w:spacing w:before="0" w:beforeAutospacing="0" w:after="0" w:afterAutospacing="0" w:line="560" w:lineRule="exact"/>
              <w:ind w:left="0" w:right="0" w:firstLine="280" w:firstLineChars="100"/>
              <w:rPr>
                <w:rFonts w:hint="default" w:ascii="Times New Roman" w:hAnsi="Times New Roman" w:eastAsia="仿宋_GB2312" w:cs="Times New Roman"/>
                <w:kern w:val="2"/>
                <w:sz w:val="21"/>
              </w:rPr>
            </w:pPr>
            <w:r>
              <w:rPr>
                <w:rFonts w:hint="default" w:ascii="Times New Roman" w:hAnsi="Times New Roman" w:eastAsia="仿宋_GB2312" w:cs="Times New Roman"/>
                <w:kern w:val="0"/>
                <w:sz w:val="28"/>
                <w:szCs w:val="28"/>
              </w:rPr>
              <w:t xml:space="preserve">临沧市生态环境局                  </w:t>
            </w:r>
            <w:r>
              <w:rPr>
                <w:rFonts w:hint="default"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rPr>
              <w:t xml:space="preserve">     </w:t>
            </w:r>
            <w:r>
              <w:rPr>
                <w:rFonts w:hint="default"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rPr>
              <w:t xml:space="preserve"> </w:t>
            </w:r>
            <w:r>
              <w:rPr>
                <w:rFonts w:hint="default" w:ascii="Times New Roman" w:hAnsi="Times New Roman" w:eastAsia="仿宋_GB2312" w:cs="Times New Roman"/>
                <w:kern w:val="0"/>
                <w:sz w:val="28"/>
                <w:szCs w:val="28"/>
                <w:highlight w:val="none"/>
                <w:lang w:val="en-US" w:eastAsia="zh-CN"/>
              </w:rPr>
              <w:t xml:space="preserve">  </w:t>
            </w:r>
            <w:r>
              <w:rPr>
                <w:rFonts w:hint="default" w:ascii="Times New Roman" w:hAnsi="Times New Roman" w:eastAsia="仿宋_GB2312" w:cs="Times New Roman"/>
                <w:kern w:val="0"/>
                <w:sz w:val="28"/>
                <w:szCs w:val="28"/>
                <w:highlight w:val="none"/>
              </w:rPr>
              <w:t>20</w:t>
            </w:r>
            <w:r>
              <w:rPr>
                <w:rFonts w:hint="default" w:ascii="Times New Roman" w:hAnsi="Times New Roman" w:eastAsia="仿宋_GB2312" w:cs="Times New Roman"/>
                <w:kern w:val="0"/>
                <w:sz w:val="28"/>
                <w:szCs w:val="28"/>
                <w:highlight w:val="none"/>
                <w:lang w:val="en-US" w:eastAsia="zh-CN"/>
              </w:rPr>
              <w:t>24</w:t>
            </w:r>
            <w:r>
              <w:rPr>
                <w:rFonts w:hint="default" w:ascii="Times New Roman" w:hAnsi="Times New Roman" w:eastAsia="仿宋_GB2312" w:cs="Times New Roman"/>
                <w:kern w:val="0"/>
                <w:sz w:val="28"/>
                <w:szCs w:val="28"/>
                <w:highlight w:val="none"/>
              </w:rPr>
              <w:t>年</w:t>
            </w:r>
            <w:r>
              <w:rPr>
                <w:rFonts w:hint="default" w:ascii="Times New Roman" w:hAnsi="Times New Roman" w:eastAsia="仿宋_GB2312" w:cs="Times New Roman"/>
                <w:kern w:val="0"/>
                <w:sz w:val="28"/>
                <w:szCs w:val="28"/>
                <w:highlight w:val="none"/>
                <w:lang w:val="en-US" w:eastAsia="zh-CN"/>
              </w:rPr>
              <w:t>1月1</w:t>
            </w:r>
            <w:r>
              <w:rPr>
                <w:rFonts w:hint="eastAsia" w:ascii="Times New Roman" w:hAnsi="Times New Roman" w:eastAsia="仿宋_GB2312" w:cs="Times New Roman"/>
                <w:kern w:val="0"/>
                <w:sz w:val="28"/>
                <w:szCs w:val="28"/>
                <w:highlight w:val="none"/>
                <w:lang w:val="en-US" w:eastAsia="zh-CN"/>
              </w:rPr>
              <w:t>8</w:t>
            </w:r>
            <w:r>
              <w:rPr>
                <w:rFonts w:hint="default" w:ascii="Times New Roman" w:hAnsi="Times New Roman" w:eastAsia="仿宋_GB2312" w:cs="Times New Roman"/>
                <w:kern w:val="0"/>
                <w:sz w:val="28"/>
                <w:szCs w:val="28"/>
                <w:highlight w:val="none"/>
              </w:rPr>
              <w:t>日印</w:t>
            </w:r>
          </w:p>
        </w:tc>
      </w:tr>
    </w:tbl>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2154" w:right="1474" w:bottom="2041" w:left="1531"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4ZmMyZDM3YmM1NWEwYmRjMjY3ZTQ0ZTZjOWEwMzkifQ=="/>
  </w:docVars>
  <w:rsids>
    <w:rsidRoot w:val="297A0012"/>
    <w:rsid w:val="09DE67B4"/>
    <w:rsid w:val="0A2C127B"/>
    <w:rsid w:val="147E132C"/>
    <w:rsid w:val="25A76A75"/>
    <w:rsid w:val="297A0012"/>
    <w:rsid w:val="35C73CFA"/>
    <w:rsid w:val="39957106"/>
    <w:rsid w:val="3D91318F"/>
    <w:rsid w:val="3E6F3356"/>
    <w:rsid w:val="46672DF9"/>
    <w:rsid w:val="536D6A8A"/>
    <w:rsid w:val="9D7F9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napToGrid w:val="0"/>
      <w:spacing w:before="60" w:after="160" w:line="259" w:lineRule="auto"/>
      <w:ind w:right="113"/>
    </w:pPr>
    <w:rPr>
      <w:kern w:val="0"/>
      <w:sz w:val="18"/>
      <w:szCs w:val="18"/>
    </w:rPr>
  </w:style>
  <w:style w:type="paragraph" w:styleId="3">
    <w:name w:val="Plain Text"/>
    <w:basedOn w:val="1"/>
    <w:next w:val="1"/>
    <w:semiHidden/>
    <w:unhideWhenUsed/>
    <w:qFormat/>
    <w:uiPriority w:val="99"/>
    <w:pPr>
      <w:adjustRightInd w:val="0"/>
      <w:snapToGrid w:val="0"/>
      <w:spacing w:beforeLines="50" w:after="100" w:afterAutospacing="1" w:line="440" w:lineRule="exact"/>
      <w:ind w:firstLine="480" w:firstLineChars="200"/>
    </w:pPr>
    <w:rPr>
      <w:rFonts w:ascii="宋体" w:hAnsi="宋体"/>
      <w:bCs/>
      <w:color w:val="000000"/>
      <w:sz w:val="24"/>
      <w:szCs w:val="24"/>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TotalTime>9</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2024-01-10T23:14:00Z</dcterms:created>
  <dc:creator>子非鱼</dc:creator>
  <cp:lastModifiedBy>kylin</cp:lastModifiedBy>
  <cp:lastPrinted>2024-01-19T11:18:36Z</cp:lastPrinted>
  <dcterms:modified xsi:type="dcterms:W3CDTF">2024-01-19T11:25:58Z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BF5849BCCC134A9BBBC6BC8A38A7B53C_13</vt:lpwstr>
  </property>
</Properties>
</file>