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临沧市生态环境局机关视频监控设备安装项目评分标准</w:t>
      </w:r>
    </w:p>
    <w:p>
      <w:pPr>
        <w:pStyle w:val="2"/>
        <w:rPr>
          <w:rFonts w:hint="eastAsia"/>
          <w:lang w:eastAsia="zh-CN"/>
        </w:rPr>
      </w:pPr>
    </w:p>
    <w:tbl>
      <w:tblPr>
        <w:tblStyle w:val="6"/>
        <w:tblW w:w="10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851"/>
        <w:gridCol w:w="567"/>
        <w:gridCol w:w="1146"/>
        <w:gridCol w:w="854"/>
        <w:gridCol w:w="5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718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条款号</w:t>
            </w:r>
          </w:p>
        </w:tc>
        <w:tc>
          <w:tcPr>
            <w:tcW w:w="2567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评 审 内 容</w:t>
            </w:r>
          </w:p>
        </w:tc>
        <w:tc>
          <w:tcPr>
            <w:tcW w:w="595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评 审 标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  <w:jc w:val="center"/>
        </w:trPr>
        <w:tc>
          <w:tcPr>
            <w:tcW w:w="867" w:type="dxa"/>
            <w:vMerge w:val="restart"/>
            <w:vAlign w:val="center"/>
          </w:tcPr>
          <w:p>
            <w:pPr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详细评审标准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146" w:type="dxa"/>
            <w:vAlign w:val="center"/>
          </w:tcPr>
          <w:p>
            <w:p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评分</w:t>
            </w:r>
            <w:r>
              <w:rPr>
                <w:rFonts w:hint="eastAsia" w:ascii="宋体" w:hAnsi="宋体"/>
                <w:szCs w:val="21"/>
              </w:rPr>
              <w:t>总得分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100</w:t>
            </w:r>
          </w:p>
        </w:tc>
        <w:tc>
          <w:tcPr>
            <w:tcW w:w="5952" w:type="dxa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供应商</w:t>
            </w:r>
            <w:r>
              <w:rPr>
                <w:rFonts w:ascii="宋体" w:hAnsi="宋体"/>
                <w:b/>
                <w:szCs w:val="21"/>
              </w:rPr>
              <w:t>的</w:t>
            </w:r>
            <w:r>
              <w:rPr>
                <w:rFonts w:hint="eastAsia" w:ascii="宋体" w:hAnsi="宋体"/>
                <w:b/>
                <w:szCs w:val="21"/>
              </w:rPr>
              <w:t>最终</w:t>
            </w:r>
            <w:r>
              <w:rPr>
                <w:rFonts w:ascii="宋体" w:hAnsi="宋体"/>
                <w:b/>
                <w:szCs w:val="21"/>
              </w:rPr>
              <w:t>总得分</w:t>
            </w:r>
            <w:r>
              <w:rPr>
                <w:rFonts w:hint="eastAsia" w:ascii="宋体" w:hAnsi="宋体"/>
                <w:b/>
                <w:szCs w:val="21"/>
              </w:rPr>
              <w:t>满分100分</w:t>
            </w:r>
          </w:p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供应商的</w:t>
            </w:r>
            <w:r>
              <w:rPr>
                <w:rFonts w:hint="eastAsia" w:ascii="宋体" w:hAnsi="宋体"/>
                <w:b/>
                <w:szCs w:val="21"/>
              </w:rPr>
              <w:t>最终</w:t>
            </w:r>
            <w:r>
              <w:rPr>
                <w:rFonts w:ascii="宋体" w:hAnsi="宋体"/>
                <w:b/>
                <w:szCs w:val="21"/>
              </w:rPr>
              <w:t>总得分</w:t>
            </w:r>
            <w:r>
              <w:rPr>
                <w:rFonts w:hint="eastAsia" w:ascii="宋体" w:hAnsi="宋体"/>
                <w:b/>
                <w:szCs w:val="21"/>
              </w:rPr>
              <w:t>=</w:t>
            </w:r>
            <w:r>
              <w:rPr>
                <w:rFonts w:ascii="宋体" w:hAnsi="宋体"/>
                <w:szCs w:val="21"/>
              </w:rPr>
              <w:t xml:space="preserve"> F1</w:t>
            </w:r>
            <w:r>
              <w:rPr>
                <w:rFonts w:hint="eastAsia" w:ascii="宋体" w:hAnsi="宋体"/>
                <w:szCs w:val="21"/>
              </w:rPr>
              <w:t>+</w:t>
            </w:r>
            <w:r>
              <w:rPr>
                <w:rFonts w:ascii="宋体" w:hAnsi="宋体"/>
                <w:szCs w:val="21"/>
              </w:rPr>
              <w:t>F2</w:t>
            </w:r>
            <w:r>
              <w:rPr>
                <w:rFonts w:hint="eastAsia" w:ascii="宋体" w:hAnsi="宋体"/>
                <w:szCs w:val="21"/>
              </w:rPr>
              <w:t>+</w:t>
            </w:r>
            <w:r>
              <w:rPr>
                <w:rFonts w:ascii="宋体" w:hAnsi="宋体"/>
                <w:szCs w:val="21"/>
              </w:rPr>
              <w:t>F3</w:t>
            </w:r>
          </w:p>
          <w:p>
            <w:pPr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</w:t>
            </w:r>
            <w:r>
              <w:rPr>
                <w:rFonts w:ascii="宋体" w:hAnsi="宋体"/>
                <w:szCs w:val="21"/>
              </w:rPr>
              <w:t>F1、F2、F3分别为</w:t>
            </w:r>
            <w:r>
              <w:rPr>
                <w:rFonts w:hint="eastAsia" w:ascii="宋体" w:hAnsi="宋体"/>
                <w:szCs w:val="21"/>
                <w:lang w:eastAsia="zh-CN"/>
              </w:rPr>
              <w:t>评分</w:t>
            </w:r>
            <w:r>
              <w:rPr>
                <w:rFonts w:ascii="宋体" w:hAnsi="宋体"/>
                <w:szCs w:val="21"/>
              </w:rPr>
              <w:t>报价</w:t>
            </w:r>
            <w:r>
              <w:rPr>
                <w:rFonts w:hint="eastAsia" w:ascii="宋体" w:hAnsi="宋体"/>
                <w:szCs w:val="21"/>
              </w:rPr>
              <w:t>评分</w:t>
            </w:r>
            <w:r>
              <w:rPr>
                <w:rFonts w:ascii="宋体" w:hAnsi="宋体"/>
                <w:szCs w:val="21"/>
              </w:rPr>
              <w:t>、技术部分</w:t>
            </w:r>
            <w:r>
              <w:rPr>
                <w:rFonts w:hint="eastAsia" w:ascii="宋体" w:hAnsi="宋体"/>
                <w:szCs w:val="21"/>
              </w:rPr>
              <w:t>评分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</w:rPr>
              <w:t>商务部分评分</w:t>
            </w:r>
            <w:r>
              <w:rPr>
                <w:rFonts w:ascii="宋体" w:hAnsi="宋体"/>
                <w:szCs w:val="21"/>
              </w:rPr>
              <w:t>3项评分因素的汇总得分；</w:t>
            </w:r>
          </w:p>
          <w:p>
            <w:pPr>
              <w:snapToGrid w:val="0"/>
              <w:ind w:left="1258" w:hanging="1258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2、权重：</w:t>
            </w:r>
          </w:p>
          <w:p>
            <w:pPr>
              <w:snapToGrid w:val="0"/>
              <w:ind w:left="1258" w:hanging="125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评分</w:t>
            </w:r>
            <w:r>
              <w:rPr>
                <w:rFonts w:ascii="宋体" w:hAnsi="宋体"/>
                <w:szCs w:val="21"/>
              </w:rPr>
              <w:t>报价</w:t>
            </w:r>
            <w:r>
              <w:rPr>
                <w:rFonts w:hint="eastAsia" w:ascii="宋体" w:hAnsi="宋体"/>
                <w:szCs w:val="21"/>
              </w:rPr>
              <w:t>评分</w:t>
            </w:r>
            <w:r>
              <w:rPr>
                <w:rFonts w:ascii="宋体" w:hAnsi="宋体"/>
                <w:szCs w:val="21"/>
              </w:rPr>
              <w:t>F1：</w:t>
            </w:r>
            <w:r>
              <w:rPr>
                <w:rFonts w:hint="eastAsia" w:ascii="宋体" w:hAnsi="宋体"/>
                <w:szCs w:val="21"/>
              </w:rPr>
              <w:t>分数</w:t>
            </w:r>
            <w:r>
              <w:rPr>
                <w:rFonts w:ascii="宋体" w:hAnsi="宋体"/>
                <w:szCs w:val="21"/>
              </w:rPr>
              <w:t>为</w:t>
            </w: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0。</w:t>
            </w:r>
          </w:p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技术部分评分F2：</w:t>
            </w:r>
            <w:r>
              <w:rPr>
                <w:rFonts w:hint="eastAsia" w:ascii="宋体" w:hAnsi="宋体"/>
                <w:szCs w:val="21"/>
              </w:rPr>
              <w:t>分数</w:t>
            </w:r>
            <w:r>
              <w:rPr>
                <w:rFonts w:ascii="宋体" w:hAnsi="宋体"/>
                <w:szCs w:val="21"/>
              </w:rPr>
              <w:t>为</w:t>
            </w:r>
            <w:r>
              <w:rPr>
                <w:rFonts w:hint="eastAsia" w:ascii="宋体" w:hAnsi="宋体"/>
                <w:szCs w:val="21"/>
              </w:rPr>
              <w:t>45</w:t>
            </w:r>
            <w:r>
              <w:rPr>
                <w:rFonts w:ascii="宋体" w:hAnsi="宋体"/>
                <w:szCs w:val="21"/>
              </w:rPr>
              <w:t>。</w:t>
            </w:r>
          </w:p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商务部分评分</w:t>
            </w:r>
            <w:r>
              <w:rPr>
                <w:rFonts w:ascii="宋体" w:hAnsi="宋体"/>
                <w:szCs w:val="21"/>
              </w:rPr>
              <w:t>F3：</w:t>
            </w:r>
            <w:r>
              <w:rPr>
                <w:rFonts w:hint="eastAsia" w:ascii="宋体" w:hAnsi="宋体"/>
                <w:szCs w:val="21"/>
              </w:rPr>
              <w:t>分数</w:t>
            </w:r>
            <w:r>
              <w:rPr>
                <w:rFonts w:ascii="宋体" w:hAnsi="宋体"/>
                <w:szCs w:val="21"/>
              </w:rPr>
              <w:t>为</w:t>
            </w:r>
            <w:r>
              <w:rPr>
                <w:rFonts w:hint="eastAsia" w:ascii="宋体" w:hAnsi="宋体"/>
                <w:szCs w:val="21"/>
              </w:rPr>
              <w:t>25</w:t>
            </w:r>
            <w:r>
              <w:rPr>
                <w:rFonts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8" w:hRule="exact"/>
          <w:jc w:val="center"/>
        </w:trPr>
        <w:tc>
          <w:tcPr>
            <w:tcW w:w="86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14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评分</w:t>
            </w:r>
            <w:r>
              <w:rPr>
                <w:rFonts w:hint="eastAsia" w:ascii="宋体" w:hAnsi="宋体"/>
                <w:szCs w:val="21"/>
              </w:rPr>
              <w:t>报价评分F1</w:t>
            </w:r>
          </w:p>
        </w:tc>
        <w:tc>
          <w:tcPr>
            <w:tcW w:w="8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30</w:t>
            </w:r>
          </w:p>
        </w:tc>
        <w:tc>
          <w:tcPr>
            <w:tcW w:w="5952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报价评分采用低价优先法计算，即满足</w:t>
            </w:r>
            <w:r>
              <w:rPr>
                <w:rFonts w:hint="eastAsia" w:ascii="宋体" w:hAnsi="宋体"/>
                <w:szCs w:val="21"/>
                <w:lang w:eastAsia="zh-CN"/>
              </w:rPr>
              <w:t>评分</w:t>
            </w:r>
            <w:r>
              <w:rPr>
                <w:rFonts w:hint="eastAsia" w:ascii="宋体" w:hAnsi="宋体"/>
                <w:szCs w:val="21"/>
              </w:rPr>
              <w:t>文件要求且最后报价最低的供应商的价格为</w:t>
            </w:r>
            <w:r>
              <w:rPr>
                <w:rFonts w:hint="eastAsia" w:ascii="宋体" w:hAnsi="宋体"/>
                <w:szCs w:val="21"/>
                <w:lang w:eastAsia="zh-CN"/>
              </w:rPr>
              <w:t>评分</w:t>
            </w:r>
            <w:r>
              <w:rPr>
                <w:rFonts w:hint="eastAsia" w:ascii="宋体" w:hAnsi="宋体"/>
                <w:szCs w:val="21"/>
              </w:rPr>
              <w:t>基准价，其报价分为满分。其他供应商的报价分统一按照下列公式计算：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评分</w:t>
            </w:r>
            <w:r>
              <w:rPr>
                <w:rFonts w:hint="eastAsia" w:ascii="宋体" w:hAnsi="宋体"/>
                <w:szCs w:val="21"/>
              </w:rPr>
              <w:t xml:space="preserve">报价计算公式=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/>
                <w:szCs w:val="21"/>
                <w:lang w:eastAsia="zh-CN"/>
              </w:rPr>
              <w:t>评分</w:t>
            </w:r>
            <w:r>
              <w:rPr>
                <w:rFonts w:hint="eastAsia" w:ascii="宋体" w:hAnsi="宋体"/>
                <w:szCs w:val="21"/>
              </w:rPr>
              <w:t>基准价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/该供应商的最终报价）</w:t>
            </w:r>
            <w:r>
              <w:rPr>
                <w:rFonts w:hint="eastAsia" w:ascii="宋体" w:hAnsi="宋体"/>
                <w:szCs w:val="21"/>
              </w:rPr>
              <w:t>×30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即：</w:t>
            </w:r>
            <w:r>
              <w:rPr>
                <w:rFonts w:ascii="宋体" w:hAnsi="宋体"/>
                <w:szCs w:val="21"/>
              </w:rPr>
              <w:t>F</w:t>
            </w: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=[C/（B1，B2，…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Bn）]×3</w:t>
            </w:r>
            <w:r>
              <w:rPr>
                <w:rFonts w:hint="eastAsia" w:ascii="宋体" w:hAnsi="宋体"/>
                <w:szCs w:val="21"/>
              </w:rPr>
              <w:t>0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注：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t>C为</w:t>
            </w:r>
            <w:r>
              <w:rPr>
                <w:rFonts w:hint="eastAsia" w:ascii="宋体" w:hAnsi="宋体"/>
                <w:szCs w:val="21"/>
                <w:lang w:eastAsia="zh-CN"/>
              </w:rPr>
              <w:t>评分</w:t>
            </w:r>
            <w:r>
              <w:rPr>
                <w:rFonts w:ascii="宋体" w:hAnsi="宋体"/>
                <w:szCs w:val="21"/>
              </w:rPr>
              <w:t>基准价，即经</w:t>
            </w:r>
            <w:r>
              <w:rPr>
                <w:rFonts w:hint="eastAsia" w:ascii="宋体" w:hAnsi="宋体"/>
                <w:szCs w:val="21"/>
              </w:rPr>
              <w:t>实质性要求审查</w:t>
            </w:r>
            <w:r>
              <w:rPr>
                <w:rFonts w:ascii="宋体" w:hAnsi="宋体"/>
                <w:szCs w:val="21"/>
              </w:rPr>
              <w:t>合格</w:t>
            </w:r>
            <w:r>
              <w:rPr>
                <w:rFonts w:hint="eastAsia" w:ascii="宋体" w:hAnsi="宋体"/>
                <w:szCs w:val="21"/>
              </w:rPr>
              <w:t>且最终报价最低</w:t>
            </w:r>
            <w:r>
              <w:rPr>
                <w:rFonts w:ascii="宋体" w:hAnsi="宋体"/>
                <w:szCs w:val="21"/>
              </w:rPr>
              <w:t>的</w:t>
            </w:r>
            <w:r>
              <w:rPr>
                <w:rFonts w:hint="eastAsia" w:ascii="宋体" w:hAnsi="宋体"/>
                <w:szCs w:val="21"/>
              </w:rPr>
              <w:t>有效</w:t>
            </w:r>
            <w:r>
              <w:rPr>
                <w:rFonts w:hint="eastAsia" w:ascii="宋体" w:hAnsi="宋体"/>
                <w:szCs w:val="21"/>
                <w:lang w:eastAsia="zh-CN"/>
              </w:rPr>
              <w:t>评分</w:t>
            </w:r>
            <w:r>
              <w:rPr>
                <w:rFonts w:ascii="宋体" w:hAnsi="宋体"/>
                <w:szCs w:val="21"/>
              </w:rPr>
              <w:t>报价；</w:t>
            </w:r>
          </w:p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2）</w:t>
            </w:r>
            <w:r>
              <w:rPr>
                <w:rFonts w:ascii="宋体" w:hAnsi="宋体"/>
                <w:szCs w:val="21"/>
              </w:rPr>
              <w:t>B1，B2，…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Bn为第n个经</w:t>
            </w:r>
            <w:r>
              <w:rPr>
                <w:rFonts w:hint="eastAsia" w:ascii="宋体" w:hAnsi="宋体"/>
                <w:szCs w:val="21"/>
              </w:rPr>
              <w:t>实质性要求审查</w:t>
            </w:r>
            <w:r>
              <w:rPr>
                <w:rFonts w:ascii="宋体" w:hAnsi="宋体"/>
                <w:szCs w:val="21"/>
              </w:rPr>
              <w:t>合格的有效</w:t>
            </w:r>
            <w:r>
              <w:rPr>
                <w:rFonts w:hint="eastAsia" w:ascii="宋体" w:hAnsi="宋体"/>
                <w:szCs w:val="21"/>
              </w:rPr>
              <w:t>最终报价</w:t>
            </w:r>
            <w:r>
              <w:rPr>
                <w:rFonts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8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详细评审标准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技术部分评分F2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50</w:t>
            </w:r>
            <w:bookmarkStart w:id="0" w:name="_GoBack"/>
            <w:bookmarkEnd w:id="0"/>
          </w:p>
        </w:tc>
        <w:tc>
          <w:tcPr>
            <w:tcW w:w="5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评审内容包括：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1)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实施方案评审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25</w:t>
            </w:r>
          </w:p>
        </w:tc>
        <w:tc>
          <w:tcPr>
            <w:tcW w:w="5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评分</w:t>
            </w:r>
            <w:r>
              <w:rPr>
                <w:rFonts w:hint="eastAsia" w:ascii="宋体" w:hAnsi="宋体"/>
                <w:szCs w:val="21"/>
              </w:rPr>
              <w:t>小组对所有响应文件的实施方案部分内容进行详细的横向比较评审：</w:t>
            </w:r>
          </w:p>
          <w:p>
            <w:pPr>
              <w:spacing w:line="29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第一个档次（14-20分）：有详细、合理的服务方案、工作技术方案实施细则、保障措施，且针对性强的；</w:t>
            </w:r>
          </w:p>
          <w:p>
            <w:pPr>
              <w:spacing w:line="29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第二个档次（7-13分）：服务方案、工作技术方案实施细则、保障措施基本详细合理，针对性一般；</w:t>
            </w:r>
          </w:p>
          <w:p>
            <w:pPr>
              <w:spacing w:line="29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第三个档次（</w:t>
            </w:r>
            <w:r>
              <w:rPr>
                <w:rFonts w:ascii="宋体" w:hAnsi="宋体"/>
                <w:szCs w:val="21"/>
              </w:rPr>
              <w:t>1-</w:t>
            </w:r>
            <w:r>
              <w:rPr>
                <w:rFonts w:hint="eastAsia" w:ascii="宋体" w:hAnsi="宋体"/>
                <w:szCs w:val="21"/>
              </w:rPr>
              <w:t>6分）：实施方案简单粗糙，不全面，保障措施一般；</w:t>
            </w:r>
          </w:p>
          <w:p>
            <w:pPr>
              <w:spacing w:line="29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无实施方案描述的该项得0分。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2）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服务质量承诺及保障措施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8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5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第一个档次（7-10分）：质量承诺及保障措施优；</w:t>
            </w:r>
          </w:p>
          <w:p>
            <w:pPr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第二个档次（4-6分）：质量承诺及保障措施良好；</w:t>
            </w:r>
          </w:p>
          <w:p>
            <w:pPr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第三个档次（1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>3分）：质量承诺及保障措施一般，基本满足或不满足；</w:t>
            </w:r>
          </w:p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无服务质量承诺及保障措施的不得分。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5" w:hRule="exact"/>
          <w:jc w:val="center"/>
        </w:trPr>
        <w:tc>
          <w:tcPr>
            <w:tcW w:w="8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3)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项目组成员评审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5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第一个档次（</w:t>
            </w:r>
            <w:r>
              <w:rPr>
                <w:rFonts w:hint="eastAsia" w:ascii="宋体" w:hAnsi="宋体"/>
                <w:szCs w:val="21"/>
              </w:rPr>
              <w:t>11</w:t>
            </w:r>
            <w:r>
              <w:rPr>
                <w:rFonts w:ascii="宋体" w:hAnsi="宋体"/>
                <w:szCs w:val="21"/>
              </w:rPr>
              <w:t>-1</w:t>
            </w: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</w:rPr>
              <w:t>分）：人员配置合理，人员上岗证书齐全，岗位职责明确，服务人员有经验，针对性强，人员稳定措施合理可行。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第二个档次（</w:t>
            </w:r>
            <w:r>
              <w:rPr>
                <w:rFonts w:hint="eastAsia"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color w:val="000000"/>
                <w:szCs w:val="21"/>
              </w:rPr>
              <w:t>分）：人员配置基本合理，人员上岗证书基本齐全，岗位职责基本明确，基本满足项目需求，针对性一般，人员稳定措施合理性一般。</w:t>
            </w:r>
          </w:p>
          <w:p>
            <w:pPr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第三个档次（</w:t>
            </w: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</w:rPr>
              <w:t>分）：人员配置不合理，人员上岗证书遗漏较多，岗位职责不明确，针对性差，人员稳定措施不合理。</w:t>
            </w:r>
          </w:p>
          <w:p>
            <w:pPr>
              <w:snapToGrid w:val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注：若供应商未按</w:t>
            </w:r>
            <w:r>
              <w:rPr>
                <w:rFonts w:hint="eastAsia" w:ascii="宋体" w:hAnsi="宋体"/>
                <w:szCs w:val="21"/>
                <w:lang w:eastAsia="zh-CN"/>
              </w:rPr>
              <w:t>评分</w:t>
            </w:r>
            <w:r>
              <w:rPr>
                <w:rFonts w:hint="eastAsia" w:ascii="宋体" w:hAnsi="宋体"/>
                <w:szCs w:val="21"/>
              </w:rPr>
              <w:t>文件要求提供人员相关证书，视为无效人员。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8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146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商务部分评分F3</w:t>
            </w:r>
          </w:p>
        </w:tc>
        <w:tc>
          <w:tcPr>
            <w:tcW w:w="85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</w:p>
        </w:tc>
        <w:tc>
          <w:tcPr>
            <w:tcW w:w="5952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评审内容包括：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exact"/>
          <w:jc w:val="center"/>
        </w:trPr>
        <w:tc>
          <w:tcPr>
            <w:tcW w:w="8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类似业绩</w:t>
            </w:r>
          </w:p>
        </w:tc>
        <w:tc>
          <w:tcPr>
            <w:tcW w:w="854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</w:p>
        </w:tc>
        <w:tc>
          <w:tcPr>
            <w:tcW w:w="5952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以供应商</w:t>
            </w:r>
            <w:r>
              <w:rPr>
                <w:rFonts w:hint="eastAsia"/>
              </w:rPr>
              <w:t>本项目响应文件递交截止时间</w:t>
            </w:r>
            <w:r>
              <w:rPr>
                <w:rFonts w:hint="eastAsia" w:ascii="宋体" w:hAnsi="宋体"/>
                <w:szCs w:val="21"/>
              </w:rPr>
              <w:t>类似业绩进行计算，每提供一项类似业绩证明材料得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分，加至满分为止，没有或未提供业绩证明材料的不得分。</w:t>
            </w:r>
          </w:p>
          <w:p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</w:t>
            </w:r>
            <w:r>
              <w:rPr>
                <w:rFonts w:hint="eastAsia" w:ascii="宋体" w:hAnsi="宋体"/>
              </w:rPr>
              <w:t>业绩证明材料须提供签订的合同复印件</w:t>
            </w:r>
            <w:r>
              <w:rPr>
                <w:rFonts w:hint="eastAsia" w:ascii="宋体" w:hAnsi="宋体"/>
                <w:lang w:eastAsia="zh-CN"/>
              </w:rPr>
              <w:t>或有关材料</w:t>
            </w:r>
            <w:r>
              <w:rPr>
                <w:rFonts w:hint="eastAsia" w:ascii="宋体" w:hAnsi="宋体"/>
              </w:rPr>
              <w:t>，</w:t>
            </w:r>
            <w:r>
              <w:rPr>
                <w:rFonts w:hint="eastAsia" w:ascii="宋体" w:hAnsi="宋体"/>
                <w:szCs w:val="21"/>
              </w:rPr>
              <w:t>未提供证明材料的不得分。）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0" w:firstLineChars="0"/>
        <w:textAlignment w:val="auto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本次</w:t>
      </w:r>
      <w:r>
        <w:rPr>
          <w:rFonts w:hint="eastAsia" w:ascii="宋体" w:hAnsi="宋体" w:eastAsia="宋体"/>
          <w:b/>
          <w:bCs/>
          <w:lang w:eastAsia="zh-CN"/>
        </w:rPr>
        <w:t>评分</w:t>
      </w:r>
      <w:r>
        <w:rPr>
          <w:rFonts w:hint="eastAsia" w:ascii="宋体" w:hAnsi="宋体" w:eastAsia="宋体"/>
          <w:b/>
          <w:bCs/>
        </w:rPr>
        <w:t>采用综合评分法</w:t>
      </w:r>
    </w:p>
    <w:p>
      <w:pPr>
        <w:pStyle w:val="3"/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0" w:firstLineChars="0"/>
        <w:textAlignment w:val="auto"/>
        <w:rPr>
          <w:rFonts w:hint="eastAsia" w:ascii="宋体" w:hAnsi="宋体" w:eastAsia="宋体"/>
        </w:rPr>
      </w:pPr>
      <w:r>
        <w:rPr>
          <w:rFonts w:ascii="宋体" w:hAnsi="宋体" w:eastAsia="宋体"/>
          <w:kern w:val="2"/>
        </w:rPr>
        <w:tab/>
      </w:r>
      <w:r>
        <w:rPr>
          <w:rFonts w:hint="eastAsia" w:ascii="宋体" w:hAnsi="宋体" w:eastAsia="宋体"/>
          <w:kern w:val="2"/>
          <w:lang w:eastAsia="zh-CN"/>
        </w:rPr>
        <w:t>评分</w:t>
      </w:r>
      <w:r>
        <w:rPr>
          <w:rFonts w:hint="eastAsia" w:ascii="宋体" w:hAnsi="宋体" w:eastAsia="宋体"/>
          <w:kern w:val="2"/>
        </w:rPr>
        <w:t>小组将根据评审办法计算出各供应商的综合得分，按得分由高到低推荐成交候选人排序；得分相同的，按最终报价由低到高顺序排列；得分且最终报价相同的，按技术部分得分高低顺序排列。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iNzg0MjA0YmJlYTNjNjA1ZWRlNDBjYjZhNWU4ZjQifQ=="/>
    <w:docVar w:name="KSO_WPS_MARK_KEY" w:val="778dface-877e-4f13-8ce5-753230df2301"/>
  </w:docVars>
  <w:rsids>
    <w:rsidRoot w:val="00000000"/>
    <w:rsid w:val="00214D7A"/>
    <w:rsid w:val="00C019E3"/>
    <w:rsid w:val="01F451B7"/>
    <w:rsid w:val="02DF3950"/>
    <w:rsid w:val="03723F3D"/>
    <w:rsid w:val="03C70B5E"/>
    <w:rsid w:val="05F53F5F"/>
    <w:rsid w:val="06FC5CF8"/>
    <w:rsid w:val="07174E09"/>
    <w:rsid w:val="075A7A0E"/>
    <w:rsid w:val="08316B27"/>
    <w:rsid w:val="08FE52D1"/>
    <w:rsid w:val="0AD932C8"/>
    <w:rsid w:val="0B0A26E8"/>
    <w:rsid w:val="0BA856B8"/>
    <w:rsid w:val="0C354305"/>
    <w:rsid w:val="0C466923"/>
    <w:rsid w:val="0C573879"/>
    <w:rsid w:val="0CDC288A"/>
    <w:rsid w:val="0CFF352A"/>
    <w:rsid w:val="0DBD0ACF"/>
    <w:rsid w:val="0E200491"/>
    <w:rsid w:val="0E8E67EF"/>
    <w:rsid w:val="0F460DC5"/>
    <w:rsid w:val="0FB300A9"/>
    <w:rsid w:val="106B2068"/>
    <w:rsid w:val="10D00258"/>
    <w:rsid w:val="13092087"/>
    <w:rsid w:val="131555C0"/>
    <w:rsid w:val="13BD2FFE"/>
    <w:rsid w:val="14806186"/>
    <w:rsid w:val="14C633D3"/>
    <w:rsid w:val="14E769BF"/>
    <w:rsid w:val="15DD0913"/>
    <w:rsid w:val="17EF40D4"/>
    <w:rsid w:val="188404C1"/>
    <w:rsid w:val="18AE0CBC"/>
    <w:rsid w:val="19B91D05"/>
    <w:rsid w:val="1C550727"/>
    <w:rsid w:val="1C984AC6"/>
    <w:rsid w:val="1DAE721B"/>
    <w:rsid w:val="1DDD1343"/>
    <w:rsid w:val="1E4C1EBE"/>
    <w:rsid w:val="1E4D34D1"/>
    <w:rsid w:val="1EA64D3F"/>
    <w:rsid w:val="1F2D68A0"/>
    <w:rsid w:val="20373172"/>
    <w:rsid w:val="21207437"/>
    <w:rsid w:val="2151139A"/>
    <w:rsid w:val="217B4991"/>
    <w:rsid w:val="218D1048"/>
    <w:rsid w:val="21A6514D"/>
    <w:rsid w:val="23024720"/>
    <w:rsid w:val="23A31CCD"/>
    <w:rsid w:val="23E7713D"/>
    <w:rsid w:val="24D676BE"/>
    <w:rsid w:val="25E4159A"/>
    <w:rsid w:val="26AD6B4A"/>
    <w:rsid w:val="279B5ED2"/>
    <w:rsid w:val="2870310D"/>
    <w:rsid w:val="288271C8"/>
    <w:rsid w:val="29392911"/>
    <w:rsid w:val="2B115EB5"/>
    <w:rsid w:val="2BC24EB1"/>
    <w:rsid w:val="2BD53C3A"/>
    <w:rsid w:val="2D5F3C37"/>
    <w:rsid w:val="2E0863FB"/>
    <w:rsid w:val="2F0501E7"/>
    <w:rsid w:val="3003135A"/>
    <w:rsid w:val="30BC48BB"/>
    <w:rsid w:val="31171EF8"/>
    <w:rsid w:val="312802BC"/>
    <w:rsid w:val="326C1026"/>
    <w:rsid w:val="336862CD"/>
    <w:rsid w:val="33E624A4"/>
    <w:rsid w:val="33ED3CDF"/>
    <w:rsid w:val="37D34295"/>
    <w:rsid w:val="38235877"/>
    <w:rsid w:val="38933577"/>
    <w:rsid w:val="39D0440F"/>
    <w:rsid w:val="3AD308D3"/>
    <w:rsid w:val="3B845482"/>
    <w:rsid w:val="3C2726BD"/>
    <w:rsid w:val="3C85466F"/>
    <w:rsid w:val="3CEB4C7B"/>
    <w:rsid w:val="3D927720"/>
    <w:rsid w:val="3DE87367"/>
    <w:rsid w:val="3F1131FD"/>
    <w:rsid w:val="3F1619B8"/>
    <w:rsid w:val="3F5C0B0F"/>
    <w:rsid w:val="3F5C589B"/>
    <w:rsid w:val="402638C7"/>
    <w:rsid w:val="413C1ACB"/>
    <w:rsid w:val="415D760A"/>
    <w:rsid w:val="417C0288"/>
    <w:rsid w:val="42635237"/>
    <w:rsid w:val="42B63A12"/>
    <w:rsid w:val="438209C2"/>
    <w:rsid w:val="454E10B4"/>
    <w:rsid w:val="457A15A0"/>
    <w:rsid w:val="45AA123C"/>
    <w:rsid w:val="45B03A59"/>
    <w:rsid w:val="4604257D"/>
    <w:rsid w:val="464E64C0"/>
    <w:rsid w:val="46EE2753"/>
    <w:rsid w:val="476A3F0B"/>
    <w:rsid w:val="483273CC"/>
    <w:rsid w:val="48A57AF5"/>
    <w:rsid w:val="49024D5F"/>
    <w:rsid w:val="4A0E301E"/>
    <w:rsid w:val="4A71649F"/>
    <w:rsid w:val="4A726971"/>
    <w:rsid w:val="4ACF1915"/>
    <w:rsid w:val="4BC8776F"/>
    <w:rsid w:val="4C814BB4"/>
    <w:rsid w:val="4DC42876"/>
    <w:rsid w:val="4DF419FF"/>
    <w:rsid w:val="4EA80B66"/>
    <w:rsid w:val="50730291"/>
    <w:rsid w:val="5087454D"/>
    <w:rsid w:val="516734B2"/>
    <w:rsid w:val="518339AC"/>
    <w:rsid w:val="52280D43"/>
    <w:rsid w:val="52D53129"/>
    <w:rsid w:val="533671EA"/>
    <w:rsid w:val="54CA324A"/>
    <w:rsid w:val="55274261"/>
    <w:rsid w:val="553E5031"/>
    <w:rsid w:val="56292743"/>
    <w:rsid w:val="56686DA4"/>
    <w:rsid w:val="56907052"/>
    <w:rsid w:val="57A64D25"/>
    <w:rsid w:val="593403F4"/>
    <w:rsid w:val="5A985CCF"/>
    <w:rsid w:val="5B4A777D"/>
    <w:rsid w:val="5C5A7C40"/>
    <w:rsid w:val="5CC576A8"/>
    <w:rsid w:val="5DEE7E2B"/>
    <w:rsid w:val="5E943760"/>
    <w:rsid w:val="5EE3480C"/>
    <w:rsid w:val="5FB423BC"/>
    <w:rsid w:val="6049570F"/>
    <w:rsid w:val="60A214D3"/>
    <w:rsid w:val="620126B4"/>
    <w:rsid w:val="620E2614"/>
    <w:rsid w:val="62C63586"/>
    <w:rsid w:val="63840861"/>
    <w:rsid w:val="64D82EFC"/>
    <w:rsid w:val="67AB2EB7"/>
    <w:rsid w:val="68C5507E"/>
    <w:rsid w:val="69AA7F86"/>
    <w:rsid w:val="6B3C68DC"/>
    <w:rsid w:val="6D977771"/>
    <w:rsid w:val="6EA316DD"/>
    <w:rsid w:val="6F844445"/>
    <w:rsid w:val="6F957484"/>
    <w:rsid w:val="6FCB2441"/>
    <w:rsid w:val="6FF06A22"/>
    <w:rsid w:val="6FF55810"/>
    <w:rsid w:val="703105DE"/>
    <w:rsid w:val="70522381"/>
    <w:rsid w:val="70DE47B8"/>
    <w:rsid w:val="70E10F0D"/>
    <w:rsid w:val="724C645F"/>
    <w:rsid w:val="740B3501"/>
    <w:rsid w:val="746E27F9"/>
    <w:rsid w:val="749112E2"/>
    <w:rsid w:val="751C518A"/>
    <w:rsid w:val="7714307A"/>
    <w:rsid w:val="779E44EB"/>
    <w:rsid w:val="78B4307C"/>
    <w:rsid w:val="78CF15D0"/>
    <w:rsid w:val="79675472"/>
    <w:rsid w:val="7B1131E0"/>
    <w:rsid w:val="7B651647"/>
    <w:rsid w:val="7BB85408"/>
    <w:rsid w:val="7BCB3E66"/>
    <w:rsid w:val="7C9251DE"/>
    <w:rsid w:val="7D576272"/>
    <w:rsid w:val="7D9772B4"/>
    <w:rsid w:val="7F6E2198"/>
    <w:rsid w:val="D77AFD47"/>
    <w:rsid w:val="DFCD55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"/>
    <w:pPr>
      <w:keepNext/>
      <w:keepLines/>
      <w:spacing w:before="120" w:after="120" w:line="360" w:lineRule="auto"/>
      <w:jc w:val="center"/>
      <w:outlineLvl w:val="1"/>
    </w:pPr>
    <w:rPr>
      <w:rFonts w:ascii="Arial" w:hAnsi="Arial"/>
      <w:b/>
      <w:bCs/>
      <w:kern w:val="0"/>
      <w:sz w:val="32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autoRedefine/>
    <w:qFormat/>
    <w:uiPriority w:val="99"/>
    <w:pPr>
      <w:spacing w:line="60" w:lineRule="auto"/>
      <w:ind w:firstLine="128" w:firstLineChars="128"/>
    </w:pPr>
    <w:rPr>
      <w:rFonts w:ascii="仿宋_GB2312" w:eastAsia="仿宋_GB2312"/>
      <w:kern w:val="0"/>
      <w:sz w:val="24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lenovo</dc:creator>
  <cp:lastModifiedBy>李廷波</cp:lastModifiedBy>
  <dcterms:modified xsi:type="dcterms:W3CDTF">2024-09-23T00:21:44Z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E196B2FDDFEA4BB7AA0C892DE42116CF_13</vt:lpwstr>
  </property>
</Properties>
</file>