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distribute"/>
        <w:textAlignment w:val="auto"/>
        <w:rPr>
          <w:rFonts w:hint="eastAsia" w:ascii="仿宋_GB2312" w:hAnsi="仿宋_GB2312" w:eastAsia="仿宋_GB2312" w:cs="仿宋_GB2312"/>
          <w:b/>
          <w:bCs/>
          <w:color w:val="FF0000"/>
          <w:w w:val="90"/>
          <w:kern w:val="16"/>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distribute"/>
        <w:textAlignment w:val="auto"/>
        <w:rPr>
          <w:rFonts w:hint="eastAsia" w:ascii="仿宋_GB2312" w:hAnsi="仿宋_GB2312" w:eastAsia="仿宋_GB2312" w:cs="仿宋_GB2312"/>
          <w:b/>
          <w:bCs/>
          <w:color w:val="FF0000"/>
          <w:w w:val="90"/>
          <w:kern w:val="16"/>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distribute"/>
        <w:textAlignment w:val="auto"/>
        <w:rPr>
          <w:rFonts w:hint="eastAsia" w:ascii="仿宋_GB2312" w:hAnsi="仿宋_GB2312" w:eastAsia="仿宋_GB2312" w:cs="仿宋_GB2312"/>
          <w:b/>
          <w:bCs/>
          <w:color w:val="FF0000"/>
          <w:w w:val="90"/>
          <w:kern w:val="16"/>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distribute"/>
        <w:textAlignment w:val="auto"/>
        <w:outlineLvl w:val="0"/>
        <w:rPr>
          <w:rFonts w:hint="eastAsia" w:ascii="方正小标宋_GBK" w:hAnsi="方正小标宋_GBK" w:eastAsia="方正小标宋_GBK" w:cs="方正小标宋_GBK"/>
          <w:b/>
          <w:bCs/>
          <w:color w:val="FF0000"/>
          <w:sz w:val="32"/>
          <w:szCs w:val="32"/>
        </w:rPr>
      </w:pPr>
    </w:p>
    <w:p>
      <w:pPr>
        <w:spacing w:line="0" w:lineRule="atLeast"/>
        <w:ind w:firstLine="1600" w:firstLineChars="800"/>
        <w:rPr>
          <w:rFonts w:hint="eastAsia" w:ascii="仿宋_GB2312" w:hAnsi="仿宋_GB2312" w:eastAsia="仿宋_GB2312" w:cs="仿宋_GB2312"/>
          <w:sz w:val="20"/>
          <w:szCs w:val="20"/>
        </w:rPr>
      </w:pPr>
    </w:p>
    <w:p>
      <w:pPr>
        <w:spacing w:line="0" w:lineRule="atLeast"/>
        <w:ind w:left="0" w:leftChars="0" w:firstLine="0" w:firstLineChars="0"/>
        <w:jc w:val="center"/>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临环审〔202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36</w:t>
      </w:r>
      <w:r>
        <w:rPr>
          <w:rFonts w:hint="eastAsia" w:ascii="仿宋_GB2312" w:hAnsi="仿宋_GB2312" w:eastAsia="仿宋_GB2312" w:cs="仿宋_GB2312"/>
          <w:color w:val="auto"/>
          <w:sz w:val="32"/>
          <w:szCs w:val="32"/>
          <w:highlight w:val="none"/>
        </w:rPr>
        <w:t>号</w:t>
      </w:r>
    </w:p>
    <w:p>
      <w:pPr>
        <w:spacing w:line="0" w:lineRule="atLeast"/>
        <w:jc w:val="center"/>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outlineLvl w:val="0"/>
        <w:rPr>
          <w:rFonts w:hint="eastAsia" w:ascii="方正小标宋_GBK" w:hAnsi="方正小标宋_GBK" w:eastAsia="方正小标宋_GBK" w:cs="方正小标宋_GBK"/>
          <w:b/>
          <w:bCs/>
          <w:color w:val="auto"/>
          <w:sz w:val="44"/>
          <w:szCs w:val="44"/>
          <w:lang w:val="en-US" w:eastAsia="zh-CN"/>
        </w:rPr>
      </w:pPr>
      <w:r>
        <w:rPr>
          <w:rFonts w:hint="eastAsia" w:ascii="方正小标宋_GBK" w:hAnsi="方正小标宋_GBK" w:eastAsia="方正小标宋_GBK" w:cs="方正小标宋_GBK"/>
          <w:b/>
          <w:bCs/>
          <w:color w:val="auto"/>
          <w:sz w:val="44"/>
          <w:szCs w:val="44"/>
        </w:rPr>
        <w:t>临沧市生态环境局关于</w:t>
      </w:r>
      <w:r>
        <w:rPr>
          <w:rFonts w:hint="eastAsia" w:ascii="方正小标宋_GBK" w:hAnsi="方正小标宋_GBK" w:eastAsia="方正小标宋_GBK" w:cs="方正小标宋_GBK"/>
          <w:b/>
          <w:bCs/>
          <w:color w:val="auto"/>
          <w:sz w:val="44"/>
          <w:szCs w:val="44"/>
          <w:lang w:val="en-US" w:eastAsia="zh-CN"/>
        </w:rPr>
        <w:t>临沧市临翔区营利性</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center"/>
        <w:textAlignment w:val="auto"/>
        <w:outlineLvl w:val="0"/>
        <w:rPr>
          <w:rFonts w:hint="eastAsia" w:ascii="方正小标宋_GBK" w:hAnsi="方正小标宋_GBK" w:eastAsia="方正小标宋_GBK" w:cs="方正小标宋_GBK"/>
          <w:b/>
          <w:bCs/>
          <w:color w:val="auto"/>
          <w:sz w:val="44"/>
          <w:szCs w:val="44"/>
        </w:rPr>
      </w:pPr>
      <w:r>
        <w:rPr>
          <w:rFonts w:hint="eastAsia" w:ascii="方正小标宋_GBK" w:hAnsi="方正小标宋_GBK" w:eastAsia="方正小标宋_GBK" w:cs="方正小标宋_GBK"/>
          <w:b/>
          <w:bCs/>
          <w:color w:val="auto"/>
          <w:sz w:val="44"/>
          <w:szCs w:val="44"/>
          <w:lang w:val="en-US" w:eastAsia="zh-CN"/>
        </w:rPr>
        <w:t>普通高级中学建设项目环境</w:t>
      </w:r>
      <w:r>
        <w:rPr>
          <w:rFonts w:hint="eastAsia" w:ascii="方正小标宋_GBK" w:hAnsi="方正小标宋_GBK" w:eastAsia="方正小标宋_GBK" w:cs="方正小标宋_GBK"/>
          <w:b/>
          <w:bCs/>
          <w:color w:val="auto"/>
          <w:sz w:val="44"/>
          <w:szCs w:val="44"/>
        </w:rPr>
        <w:t>影响报告</w:t>
      </w:r>
      <w:r>
        <w:rPr>
          <w:rFonts w:hint="eastAsia" w:ascii="方正小标宋_GBK" w:hAnsi="方正小标宋_GBK" w:eastAsia="方正小标宋_GBK" w:cs="方正小标宋_GBK"/>
          <w:b/>
          <w:bCs/>
          <w:color w:val="auto"/>
          <w:sz w:val="44"/>
          <w:szCs w:val="44"/>
          <w:lang w:val="en-US" w:eastAsia="zh-CN"/>
        </w:rPr>
        <w:t>表</w:t>
      </w:r>
      <w:r>
        <w:rPr>
          <w:rFonts w:hint="eastAsia" w:ascii="方正小标宋_GBK" w:hAnsi="方正小标宋_GBK" w:eastAsia="方正小标宋_GBK" w:cs="方正小标宋_GBK"/>
          <w:b/>
          <w:bCs/>
          <w:color w:val="auto"/>
          <w:sz w:val="44"/>
          <w:szCs w:val="44"/>
        </w:rPr>
        <w:t>的批复</w:t>
      </w:r>
    </w:p>
    <w:p>
      <w:pPr>
        <w:keepNext w:val="0"/>
        <w:keepLines w:val="0"/>
        <w:pageBreakBefore w:val="0"/>
        <w:widowControl w:val="0"/>
        <w:kinsoku/>
        <w:wordWrap/>
        <w:overflowPunct/>
        <w:topLinePunct w:val="0"/>
        <w:autoSpaceDE/>
        <w:autoSpaceDN/>
        <w:bidi w:val="0"/>
        <w:spacing w:line="560" w:lineRule="exact"/>
        <w:ind w:left="0" w:leftChars="0" w:right="0" w:rightChars="0" w:firstLine="0" w:firstLineChars="0"/>
        <w:jc w:val="left"/>
        <w:textAlignment w:val="auto"/>
        <w:outlineLvl w:val="9"/>
        <w:rPr>
          <w:rFonts w:hint="eastAsia" w:ascii="仿宋_GB2312" w:hAnsi="仿宋_GB2312" w:eastAsia="仿宋_GB2312" w:cs="仿宋_GB2312"/>
          <w:i w:val="0"/>
          <w:iCs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北京步学教育科技有限公司：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lang w:eastAsia="zh-CN"/>
        </w:rPr>
        <w:t>你公司</w:t>
      </w:r>
      <w:r>
        <w:rPr>
          <w:rFonts w:hint="eastAsia" w:ascii="仿宋_GB2312" w:hAnsi="仿宋_GB2312" w:eastAsia="仿宋_GB2312" w:cs="仿宋_GB2312"/>
          <w:color w:val="auto"/>
          <w:sz w:val="32"/>
          <w:szCs w:val="32"/>
          <w:highlight w:val="none"/>
        </w:rPr>
        <w:t>申请报批的《</w:t>
      </w:r>
      <w:r>
        <w:rPr>
          <w:rFonts w:hint="eastAsia" w:ascii="仿宋_GB2312" w:hAnsi="仿宋_GB2312" w:eastAsia="仿宋_GB2312" w:cs="仿宋_GB2312"/>
          <w:color w:val="auto"/>
          <w:sz w:val="32"/>
          <w:szCs w:val="32"/>
          <w:highlight w:val="none"/>
          <w:lang w:val="en-US" w:eastAsia="zh-CN"/>
        </w:rPr>
        <w:t>临沧市临翔区营利性普通高级中学建设项目环境影响报告表</w:t>
      </w:r>
      <w:r>
        <w:rPr>
          <w:rFonts w:hint="eastAsia" w:ascii="仿宋_GB2312" w:hAnsi="仿宋_GB2312" w:eastAsia="仿宋_GB2312" w:cs="仿宋_GB2312"/>
          <w:color w:val="auto"/>
          <w:sz w:val="32"/>
          <w:szCs w:val="32"/>
          <w:highlight w:val="none"/>
        </w:rPr>
        <w:t>》（以下简称《</w:t>
      </w:r>
      <w:r>
        <w:rPr>
          <w:rFonts w:hint="eastAsia" w:ascii="仿宋_GB2312" w:hAnsi="仿宋_GB2312" w:eastAsia="仿宋_GB2312" w:cs="仿宋_GB2312"/>
          <w:color w:val="auto"/>
          <w:sz w:val="32"/>
          <w:szCs w:val="32"/>
          <w:highlight w:val="none"/>
          <w:lang w:eastAsia="zh-CN"/>
        </w:rPr>
        <w:t>报告</w:t>
      </w:r>
      <w:r>
        <w:rPr>
          <w:rFonts w:hint="eastAsia" w:ascii="仿宋_GB2312" w:hAnsi="仿宋_GB2312" w:eastAsia="仿宋_GB2312" w:cs="仿宋_GB2312"/>
          <w:color w:val="auto"/>
          <w:sz w:val="32"/>
          <w:szCs w:val="32"/>
          <w:highlight w:val="none"/>
          <w:lang w:val="en-US" w:eastAsia="zh-CN"/>
        </w:rPr>
        <w:t>表</w:t>
      </w:r>
      <w:r>
        <w:rPr>
          <w:rFonts w:hint="eastAsia" w:ascii="仿宋_GB2312" w:hAnsi="仿宋_GB2312" w:eastAsia="仿宋_GB2312" w:cs="仿宋_GB2312"/>
          <w:color w:val="auto"/>
          <w:sz w:val="32"/>
          <w:szCs w:val="32"/>
          <w:highlight w:val="none"/>
        </w:rPr>
        <w:t>》）收悉。</w:t>
      </w:r>
      <w:r>
        <w:rPr>
          <w:rFonts w:hint="eastAsia" w:ascii="仿宋_GB2312" w:hAnsi="仿宋_GB2312" w:eastAsia="仿宋_GB2312" w:cs="仿宋_GB2312"/>
          <w:color w:val="auto"/>
          <w:sz w:val="32"/>
          <w:szCs w:val="32"/>
          <w:highlight w:val="none"/>
          <w:lang w:val="en-US" w:eastAsia="zh-CN"/>
        </w:rPr>
        <w:t>现</w:t>
      </w:r>
      <w:r>
        <w:rPr>
          <w:rFonts w:hint="eastAsia" w:ascii="仿宋_GB2312" w:hAnsi="仿宋_GB2312" w:eastAsia="仿宋_GB2312" w:cs="仿宋_GB2312"/>
          <w:color w:val="auto"/>
          <w:sz w:val="32"/>
          <w:szCs w:val="32"/>
          <w:highlight w:val="none"/>
        </w:rPr>
        <w:t>批复如下：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一、项目基本信息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项目</w:t>
      </w:r>
      <w:r>
        <w:rPr>
          <w:rFonts w:hint="default" w:ascii="仿宋_GB2312" w:hAnsi="仿宋_GB2312" w:eastAsia="仿宋_GB2312" w:cs="仿宋_GB2312"/>
          <w:color w:val="auto"/>
          <w:sz w:val="32"/>
          <w:szCs w:val="32"/>
          <w:highlight w:val="none"/>
          <w:lang w:val="en-US" w:eastAsia="zh-CN"/>
        </w:rPr>
        <w:t>位于云南省临沧市主城区前程大道以东，青华医院以西的忙半村区域内，项目地理位置中心坐标为东经100°5′24.051"，北纬23°55′27.563"。</w:t>
      </w:r>
      <w:r>
        <w:rPr>
          <w:rFonts w:hint="eastAsia" w:ascii="仿宋_GB2312" w:hAnsi="仿宋_GB2312" w:eastAsia="仿宋_GB2312" w:cs="仿宋_GB2312"/>
          <w:color w:val="auto"/>
          <w:sz w:val="32"/>
          <w:szCs w:val="32"/>
          <w:highlight w:val="none"/>
          <w:lang w:val="en-US" w:eastAsia="zh-CN"/>
        </w:rPr>
        <w:t>项目</w:t>
      </w:r>
      <w:r>
        <w:rPr>
          <w:rFonts w:hint="default" w:ascii="仿宋_GB2312" w:hAnsi="仿宋_GB2312" w:eastAsia="仿宋_GB2312" w:cs="仿宋_GB2312"/>
          <w:color w:val="auto"/>
          <w:sz w:val="32"/>
          <w:szCs w:val="32"/>
          <w:highlight w:val="none"/>
          <w:lang w:val="en-US" w:eastAsia="zh-CN"/>
        </w:rPr>
        <w:t>占地面积约63604.11m²，总建筑面积约63602m²，</w:t>
      </w:r>
      <w:r>
        <w:rPr>
          <w:rFonts w:hint="eastAsia" w:ascii="仿宋_GB2312" w:hAnsi="仿宋_GB2312" w:eastAsia="仿宋_GB2312" w:cs="仿宋_GB2312"/>
          <w:color w:val="auto"/>
          <w:sz w:val="32"/>
          <w:szCs w:val="32"/>
          <w:highlight w:val="none"/>
          <w:lang w:val="en-US" w:eastAsia="zh-CN"/>
        </w:rPr>
        <w:t>项目建设内容为综合楼10499m</w:t>
      </w:r>
      <w:r>
        <w:rPr>
          <w:rFonts w:hint="eastAsia" w:ascii="仿宋_GB2312" w:hAnsi="仿宋_GB2312" w:eastAsia="仿宋_GB2312" w:cs="仿宋_GB2312"/>
          <w:color w:val="auto"/>
          <w:sz w:val="32"/>
          <w:szCs w:val="32"/>
          <w:highlight w:val="none"/>
          <w:vertAlign w:val="superscript"/>
          <w:lang w:val="en-US" w:eastAsia="zh-CN"/>
        </w:rPr>
        <w:t>2</w:t>
      </w:r>
      <w:r>
        <w:rPr>
          <w:rFonts w:hint="eastAsia" w:ascii="仿宋_GB2312" w:hAnsi="仿宋_GB2312" w:eastAsia="仿宋_GB2312" w:cs="仿宋_GB2312"/>
          <w:color w:val="auto"/>
          <w:sz w:val="32"/>
          <w:szCs w:val="32"/>
          <w:highlight w:val="none"/>
          <w:lang w:val="en-US" w:eastAsia="zh-CN"/>
        </w:rPr>
        <w:t>，教学楼17885m</w:t>
      </w:r>
      <w:r>
        <w:rPr>
          <w:rFonts w:hint="eastAsia" w:ascii="仿宋_GB2312" w:hAnsi="仿宋_GB2312" w:eastAsia="仿宋_GB2312" w:cs="仿宋_GB2312"/>
          <w:color w:val="auto"/>
          <w:sz w:val="32"/>
          <w:szCs w:val="32"/>
          <w:highlight w:val="none"/>
          <w:vertAlign w:val="superscript"/>
          <w:lang w:val="en-US" w:eastAsia="zh-CN"/>
        </w:rPr>
        <w:t>2</w:t>
      </w:r>
      <w:r>
        <w:rPr>
          <w:rFonts w:hint="eastAsia" w:ascii="仿宋_GB2312" w:hAnsi="仿宋_GB2312" w:eastAsia="仿宋_GB2312" w:cs="仿宋_GB2312"/>
          <w:color w:val="auto"/>
          <w:sz w:val="32"/>
          <w:szCs w:val="32"/>
          <w:highlight w:val="none"/>
          <w:lang w:val="en-US" w:eastAsia="zh-CN"/>
        </w:rPr>
        <w:t>，宿舍楼21390m</w:t>
      </w:r>
      <w:r>
        <w:rPr>
          <w:rFonts w:hint="eastAsia" w:ascii="仿宋_GB2312" w:hAnsi="仿宋_GB2312" w:eastAsia="仿宋_GB2312" w:cs="仿宋_GB2312"/>
          <w:color w:val="auto"/>
          <w:sz w:val="32"/>
          <w:szCs w:val="32"/>
          <w:highlight w:val="none"/>
          <w:vertAlign w:val="superscript"/>
          <w:lang w:val="en-US" w:eastAsia="zh-CN"/>
        </w:rPr>
        <w:t>2</w:t>
      </w:r>
      <w:r>
        <w:rPr>
          <w:rFonts w:hint="eastAsia" w:ascii="仿宋_GB2312" w:hAnsi="仿宋_GB2312" w:eastAsia="仿宋_GB2312" w:cs="仿宋_GB2312"/>
          <w:color w:val="auto"/>
          <w:sz w:val="32"/>
          <w:szCs w:val="32"/>
          <w:highlight w:val="none"/>
          <w:lang w:val="en-US" w:eastAsia="zh-CN"/>
        </w:rPr>
        <w:t>，教师宿舍楼3680m</w:t>
      </w:r>
      <w:r>
        <w:rPr>
          <w:rFonts w:hint="eastAsia" w:ascii="仿宋_GB2312" w:hAnsi="仿宋_GB2312" w:eastAsia="仿宋_GB2312" w:cs="仿宋_GB2312"/>
          <w:color w:val="auto"/>
          <w:sz w:val="32"/>
          <w:szCs w:val="32"/>
          <w:highlight w:val="none"/>
          <w:vertAlign w:val="superscript"/>
          <w:lang w:val="en-US" w:eastAsia="zh-CN"/>
        </w:rPr>
        <w:t>2</w:t>
      </w:r>
      <w:r>
        <w:rPr>
          <w:rFonts w:hint="eastAsia" w:ascii="仿宋_GB2312" w:hAnsi="仿宋_GB2312" w:eastAsia="仿宋_GB2312" w:cs="仿宋_GB2312"/>
          <w:color w:val="auto"/>
          <w:sz w:val="32"/>
          <w:szCs w:val="32"/>
          <w:highlight w:val="none"/>
          <w:lang w:val="en-US" w:eastAsia="zh-CN"/>
        </w:rPr>
        <w:t>；并配套建设公用工程和环保工程</w:t>
      </w:r>
      <w:r>
        <w:rPr>
          <w:rFonts w:hint="default" w:ascii="仿宋_GB2312" w:hAnsi="仿宋_GB2312" w:eastAsia="仿宋_GB2312" w:cs="仿宋_GB2312"/>
          <w:color w:val="auto"/>
          <w:sz w:val="32"/>
          <w:szCs w:val="32"/>
          <w:highlight w:val="none"/>
          <w:lang w:val="en-US" w:eastAsia="zh-CN"/>
        </w:rPr>
        <w:t>。</w:t>
      </w:r>
      <w:r>
        <w:rPr>
          <w:rFonts w:hint="default" w:ascii="仿宋_GB2312" w:hAnsi="仿宋_GB2312" w:eastAsia="仿宋_GB2312" w:cs="仿宋_GB2312"/>
          <w:color w:val="auto"/>
          <w:sz w:val="32"/>
          <w:szCs w:val="32"/>
          <w:highlight w:val="none"/>
        </w:rPr>
        <w:t>项目总投资为</w:t>
      </w:r>
      <w:r>
        <w:rPr>
          <w:rFonts w:hint="default" w:ascii="仿宋_GB2312" w:hAnsi="仿宋_GB2312" w:eastAsia="仿宋_GB2312" w:cs="仿宋_GB2312"/>
          <w:color w:val="auto"/>
          <w:sz w:val="32"/>
          <w:szCs w:val="32"/>
          <w:highlight w:val="none"/>
          <w:lang w:val="en-US" w:eastAsia="zh-CN"/>
        </w:rPr>
        <w:t>30000</w:t>
      </w:r>
      <w:r>
        <w:rPr>
          <w:rFonts w:hint="default" w:ascii="仿宋_GB2312" w:hAnsi="仿宋_GB2312" w:eastAsia="仿宋_GB2312" w:cs="仿宋_GB2312"/>
          <w:color w:val="auto"/>
          <w:sz w:val="32"/>
          <w:szCs w:val="32"/>
          <w:highlight w:val="none"/>
        </w:rPr>
        <w:t>万元，环保投资估算总计为</w:t>
      </w:r>
      <w:r>
        <w:rPr>
          <w:rFonts w:hint="default" w:ascii="仿宋_GB2312" w:hAnsi="仿宋_GB2312" w:eastAsia="仿宋_GB2312" w:cs="仿宋_GB2312"/>
          <w:color w:val="auto"/>
          <w:sz w:val="32"/>
          <w:szCs w:val="32"/>
          <w:highlight w:val="none"/>
          <w:lang w:val="en-US" w:eastAsia="zh-CN"/>
        </w:rPr>
        <w:t>632.73</w:t>
      </w:r>
      <w:r>
        <w:rPr>
          <w:rFonts w:hint="default" w:ascii="仿宋_GB2312" w:hAnsi="仿宋_GB2312" w:eastAsia="仿宋_GB2312" w:cs="仿宋_GB2312"/>
          <w:color w:val="auto"/>
          <w:sz w:val="32"/>
          <w:szCs w:val="32"/>
          <w:highlight w:val="none"/>
        </w:rPr>
        <w:t>万元，占项目总投资的2.1</w:t>
      </w:r>
      <w:r>
        <w:rPr>
          <w:rFonts w:hint="default"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该《</w:t>
      </w:r>
      <w:r>
        <w:rPr>
          <w:rFonts w:hint="eastAsia" w:ascii="仿宋_GB2312" w:hAnsi="仿宋_GB2312" w:eastAsia="仿宋_GB2312" w:cs="仿宋_GB2312"/>
          <w:color w:val="auto"/>
          <w:sz w:val="32"/>
          <w:szCs w:val="32"/>
          <w:highlight w:val="none"/>
          <w:lang w:eastAsia="zh-CN"/>
        </w:rPr>
        <w:t>报告</w:t>
      </w:r>
      <w:r>
        <w:rPr>
          <w:rFonts w:hint="eastAsia" w:ascii="仿宋_GB2312" w:hAnsi="仿宋_GB2312" w:eastAsia="仿宋_GB2312" w:cs="仿宋_GB2312"/>
          <w:color w:val="auto"/>
          <w:sz w:val="32"/>
          <w:szCs w:val="32"/>
          <w:highlight w:val="none"/>
          <w:lang w:val="en-US" w:eastAsia="zh-CN"/>
        </w:rPr>
        <w:t>表</w:t>
      </w:r>
      <w:r>
        <w:rPr>
          <w:rFonts w:hint="eastAsia" w:ascii="仿宋_GB2312" w:hAnsi="仿宋_GB2312" w:eastAsia="仿宋_GB2312" w:cs="仿宋_GB2312"/>
          <w:color w:val="auto"/>
          <w:sz w:val="32"/>
          <w:szCs w:val="32"/>
          <w:highlight w:val="none"/>
        </w:rPr>
        <w:t>》可作为该项目环境保护设计、建设、验收和运行环境管理的依据。项目建设符合国家及云南省对建设项目环境影响评价文件审批的有关规定，不存在工程建设的重大环境制约因素，</w:t>
      </w:r>
      <w:r>
        <w:rPr>
          <w:rFonts w:hint="eastAsia" w:ascii="仿宋_GB2312" w:hAnsi="仿宋_GB2312" w:eastAsia="仿宋_GB2312" w:cs="仿宋_GB2312"/>
          <w:color w:val="auto"/>
          <w:sz w:val="32"/>
          <w:szCs w:val="32"/>
          <w:highlight w:val="none"/>
          <w:lang w:eastAsia="zh-CN"/>
        </w:rPr>
        <w:t>市生态环境局</w:t>
      </w:r>
      <w:r>
        <w:rPr>
          <w:rFonts w:hint="eastAsia" w:ascii="仿宋_GB2312" w:hAnsi="仿宋_GB2312" w:eastAsia="仿宋_GB2312" w:cs="仿宋_GB2312"/>
          <w:color w:val="auto"/>
          <w:sz w:val="32"/>
          <w:szCs w:val="32"/>
          <w:highlight w:val="none"/>
        </w:rPr>
        <w:t>同意按照《</w:t>
      </w:r>
      <w:r>
        <w:rPr>
          <w:rFonts w:hint="eastAsia" w:ascii="仿宋_GB2312" w:hAnsi="仿宋_GB2312" w:eastAsia="仿宋_GB2312" w:cs="仿宋_GB2312"/>
          <w:color w:val="auto"/>
          <w:sz w:val="32"/>
          <w:szCs w:val="32"/>
          <w:highlight w:val="none"/>
          <w:lang w:eastAsia="zh-CN"/>
        </w:rPr>
        <w:t>报告</w:t>
      </w:r>
      <w:r>
        <w:rPr>
          <w:rFonts w:hint="eastAsia" w:ascii="仿宋_GB2312" w:hAnsi="仿宋_GB2312" w:eastAsia="仿宋_GB2312" w:cs="仿宋_GB2312"/>
          <w:color w:val="auto"/>
          <w:sz w:val="32"/>
          <w:szCs w:val="32"/>
          <w:highlight w:val="none"/>
          <w:lang w:val="en-US" w:eastAsia="zh-CN"/>
        </w:rPr>
        <w:t>表</w:t>
      </w:r>
      <w:r>
        <w:rPr>
          <w:rFonts w:hint="eastAsia" w:ascii="仿宋_GB2312" w:hAnsi="仿宋_GB2312" w:eastAsia="仿宋_GB2312" w:cs="仿宋_GB2312"/>
          <w:color w:val="auto"/>
          <w:sz w:val="32"/>
          <w:szCs w:val="32"/>
          <w:highlight w:val="none"/>
        </w:rPr>
        <w:t>》所述的环境保护对策措施方案建设。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0"/>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二、项目建设和生产过程中应当做好的工作</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outlineLvl w:val="9"/>
        <w:rPr>
          <w:rFonts w:hint="eastAsia" w:ascii="仿宋_GB2312" w:hAnsi="仿宋_GB2312" w:eastAsia="仿宋_GB2312" w:cs="仿宋_GB2312"/>
          <w:color w:val="auto"/>
          <w:spacing w:val="0"/>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pacing w:val="0"/>
          <w:sz w:val="32"/>
          <w:szCs w:val="32"/>
          <w:highlight w:val="none"/>
          <w:lang w:eastAsia="zh-CN"/>
        </w:rPr>
        <w:t>请</w:t>
      </w:r>
      <w:r>
        <w:rPr>
          <w:rFonts w:hint="eastAsia" w:ascii="仿宋_GB2312" w:hAnsi="仿宋_GB2312" w:eastAsia="仿宋_GB2312" w:cs="仿宋_GB2312"/>
          <w:color w:val="auto"/>
          <w:spacing w:val="0"/>
          <w:sz w:val="32"/>
          <w:szCs w:val="32"/>
          <w:highlight w:val="none"/>
          <w:lang w:val="en-US" w:eastAsia="zh-CN"/>
        </w:rPr>
        <w:t>你公司</w:t>
      </w:r>
      <w:r>
        <w:rPr>
          <w:rFonts w:hint="eastAsia" w:ascii="仿宋_GB2312" w:hAnsi="仿宋_GB2312" w:eastAsia="仿宋_GB2312" w:cs="仿宋_GB2312"/>
          <w:color w:val="auto"/>
          <w:spacing w:val="0"/>
          <w:sz w:val="32"/>
          <w:szCs w:val="32"/>
          <w:highlight w:val="none"/>
          <w:lang w:eastAsia="zh-CN"/>
        </w:rPr>
        <w:t>严格对照《报告</w:t>
      </w:r>
      <w:r>
        <w:rPr>
          <w:rFonts w:hint="eastAsia" w:ascii="仿宋_GB2312" w:hAnsi="仿宋_GB2312" w:eastAsia="仿宋_GB2312" w:cs="仿宋_GB2312"/>
          <w:color w:val="auto"/>
          <w:spacing w:val="0"/>
          <w:sz w:val="32"/>
          <w:szCs w:val="32"/>
          <w:highlight w:val="none"/>
          <w:lang w:val="en-US" w:eastAsia="zh-CN"/>
        </w:rPr>
        <w:t>表</w:t>
      </w:r>
      <w:r>
        <w:rPr>
          <w:rFonts w:hint="eastAsia" w:ascii="仿宋_GB2312" w:hAnsi="仿宋_GB2312" w:eastAsia="仿宋_GB2312" w:cs="仿宋_GB2312"/>
          <w:color w:val="auto"/>
          <w:spacing w:val="0"/>
          <w:sz w:val="32"/>
          <w:szCs w:val="32"/>
          <w:highlight w:val="none"/>
          <w:lang w:eastAsia="zh-CN"/>
        </w:rPr>
        <w:t>》提出的各项污染防治措施及要求落实。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三）项目环境影响评价文件经批准后，如工程的性质、规模、工艺、地点或者防治污染、防止生态破坏的措施发生重大变动的，建设公司应当重新报批环境影响评价文件，否则不得实施建设。自环评批复文件批准之日起，如工程超过5年未开工建设，环境影响评价文件应当报临沧市生态环境局重新审核。</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pacing w:val="0"/>
          <w:sz w:val="32"/>
          <w:szCs w:val="32"/>
          <w:highlight w:val="none"/>
          <w:lang w:eastAsia="zh-CN"/>
        </w:rPr>
        <w:t>请</w:t>
      </w:r>
      <w:r>
        <w:rPr>
          <w:rFonts w:hint="eastAsia" w:ascii="仿宋_GB2312" w:hAnsi="仿宋_GB2312" w:eastAsia="仿宋_GB2312" w:cs="仿宋_GB2312"/>
          <w:color w:val="auto"/>
          <w:spacing w:val="0"/>
          <w:sz w:val="32"/>
          <w:szCs w:val="32"/>
          <w:highlight w:val="none"/>
          <w:lang w:val="en-US" w:eastAsia="zh-CN"/>
        </w:rPr>
        <w:t>你公司严格</w:t>
      </w:r>
      <w:r>
        <w:rPr>
          <w:rFonts w:hint="eastAsia" w:ascii="仿宋_GB2312" w:hAnsi="仿宋_GB2312" w:eastAsia="仿宋_GB2312" w:cs="仿宋_GB2312"/>
          <w:color w:val="auto"/>
          <w:sz w:val="32"/>
          <w:szCs w:val="32"/>
          <w:highlight w:val="none"/>
          <w:lang w:val="en-US" w:eastAsia="zh-CN"/>
        </w:rPr>
        <w:t>按照《突发环境事件应急预案管理暂行办法》的要求，强化环境风险管理，制定环境风险应急预案并报市生态环境局临翔分局备案；落实各项环境风险防范和应急处置设施（措施），做好日常环境应急演练和培训，开展环境监测，保障环境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highlight w:val="none"/>
          <w:lang w:val="en-US" w:eastAsia="zh-CN" w:bidi="ar-SA"/>
        </w:rPr>
        <w:t>（五）</w:t>
      </w:r>
      <w:r>
        <w:rPr>
          <w:rFonts w:hint="eastAsia" w:ascii="仿宋_GB2312" w:hAnsi="仿宋_GB2312" w:eastAsia="仿宋_GB2312" w:cs="仿宋_GB2312"/>
          <w:color w:val="auto"/>
          <w:sz w:val="32"/>
          <w:szCs w:val="32"/>
          <w:highlight w:val="none"/>
          <w:lang w:val="en-US" w:eastAsia="zh-CN"/>
        </w:rPr>
        <w:t>项目竣工后，</w:t>
      </w:r>
      <w:r>
        <w:rPr>
          <w:rFonts w:hint="eastAsia" w:ascii="仿宋_GB2312" w:hAnsi="仿宋_GB2312" w:eastAsia="仿宋_GB2312" w:cs="仿宋_GB2312"/>
          <w:color w:val="auto"/>
          <w:spacing w:val="0"/>
          <w:sz w:val="32"/>
          <w:szCs w:val="32"/>
          <w:highlight w:val="none"/>
          <w:lang w:eastAsia="zh-CN"/>
        </w:rPr>
        <w:t>请</w:t>
      </w:r>
      <w:r>
        <w:rPr>
          <w:rFonts w:hint="eastAsia" w:ascii="仿宋_GB2312" w:hAnsi="仿宋_GB2312" w:eastAsia="仿宋_GB2312" w:cs="仿宋_GB2312"/>
          <w:color w:val="auto"/>
          <w:spacing w:val="0"/>
          <w:sz w:val="32"/>
          <w:szCs w:val="32"/>
          <w:highlight w:val="none"/>
          <w:lang w:val="en-US" w:eastAsia="zh-CN"/>
        </w:rPr>
        <w:t>你公司</w:t>
      </w:r>
      <w:r>
        <w:rPr>
          <w:rFonts w:hint="eastAsia" w:ascii="仿宋_GB2312" w:hAnsi="仿宋_GB2312" w:eastAsia="仿宋_GB2312" w:cs="仿宋_GB2312"/>
          <w:color w:val="auto"/>
          <w:sz w:val="32"/>
          <w:szCs w:val="32"/>
          <w:highlight w:val="none"/>
          <w:lang w:val="en-US" w:eastAsia="zh-CN"/>
        </w:rPr>
        <w:t>严</w:t>
      </w:r>
      <w:r>
        <w:rPr>
          <w:rFonts w:hint="eastAsia" w:ascii="仿宋_GB2312" w:hAnsi="仿宋_GB2312" w:eastAsia="仿宋_GB2312" w:cs="仿宋_GB2312"/>
          <w:color w:val="auto"/>
          <w:sz w:val="32"/>
          <w:szCs w:val="32"/>
          <w:lang w:val="en-US" w:eastAsia="zh-CN"/>
        </w:rPr>
        <w:t>格按照《建设项目竣工环境保护验收暂行办法》有关规定，组织对配套建设的环境保护设施进行验收，并将相关信息向社会公开，同时将上述信息报送市生态环境局临翔分局。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kern w:val="0"/>
          <w:sz w:val="32"/>
          <w:szCs w:val="32"/>
          <w:lang w:val="en-US" w:eastAsia="zh-CN" w:bidi="ar-SA"/>
        </w:rPr>
        <w:t>市生态环境保护综合行政执法支队</w:t>
      </w:r>
      <w:r>
        <w:rPr>
          <w:rFonts w:hint="eastAsia" w:ascii="仿宋_GB2312" w:hAnsi="仿宋_GB2312" w:eastAsia="仿宋_GB2312" w:cs="仿宋_GB2312"/>
          <w:color w:val="auto"/>
          <w:sz w:val="32"/>
          <w:szCs w:val="32"/>
          <w:lang w:val="en-US" w:eastAsia="zh-CN"/>
        </w:rPr>
        <w:t>要履行事中事后监管职责，临翔分局要履行属地监管职责，严格按照相关法律法规及《关于进一步完善建设项目环境保护“三同时”及竣工环境保护自主验收监管工作机制的意见》（环执法〔2021〕70号）要求，切实加大现场执法监督力度，全面加强建设项目“三同时”及自主验收监管，确保《报告表》及批复文件各项要求落实到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800" w:firstLineChars="150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4800" w:firstLineChars="15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临沧市生态环境局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440" w:firstLineChars="1700"/>
        <w:jc w:val="both"/>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32"/>
          <w:szCs w:val="32"/>
          <w:highlight w:val="none"/>
          <w:lang w:val="en-US" w:eastAsia="zh-CN"/>
        </w:rPr>
        <w:t>2024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日</w:t>
      </w:r>
    </w:p>
    <w:p>
      <w:pPr>
        <w:rPr>
          <w:rFonts w:hint="eastAsia" w:ascii="仿宋_GB2312" w:hAnsi="仿宋_GB2312" w:eastAsia="仿宋_GB2312" w:cs="仿宋_GB2312"/>
          <w:color w:val="auto"/>
        </w:rPr>
      </w:pPr>
    </w:p>
    <w:p>
      <w:pPr>
        <w:rPr>
          <w:rFonts w:hint="eastAsia" w:ascii="仿宋_GB2312" w:hAnsi="仿宋_GB2312" w:eastAsia="仿宋_GB2312" w:cs="仿宋_GB2312"/>
          <w:color w:val="auto"/>
        </w:rPr>
      </w:pPr>
    </w:p>
    <w:p>
      <w:pPr>
        <w:tabs>
          <w:tab w:val="left" w:pos="622"/>
        </w:tabs>
        <w:bidi w:val="0"/>
        <w:jc w:val="left"/>
        <w:rPr>
          <w:rFonts w:hint="eastAsia" w:ascii="仿宋_GB2312" w:hAnsi="仿宋_GB2312" w:eastAsia="仿宋_GB2312" w:cs="仿宋_GB2312"/>
          <w:color w:val="auto"/>
          <w:kern w:val="2"/>
          <w:sz w:val="24"/>
          <w:szCs w:val="24"/>
          <w:lang w:val="en-US" w:eastAsia="zh-CN" w:bidi="ar-SA"/>
        </w:rPr>
      </w:pPr>
    </w:p>
    <w:p>
      <w:pPr>
        <w:pStyle w:val="2"/>
      </w:pPr>
    </w:p>
    <w:p/>
    <w:p>
      <w:pPr>
        <w:pStyle w:val="2"/>
      </w:pPr>
    </w:p>
    <w:p/>
    <w:p>
      <w:pPr>
        <w:pStyle w:val="2"/>
      </w:pPr>
    </w:p>
    <w:p/>
    <w:p>
      <w:pPr>
        <w:pStyle w:val="2"/>
        <w:ind w:left="0" w:leftChars="0" w:firstLine="0" w:firstLineChars="0"/>
      </w:pPr>
    </w:p>
    <w:p/>
    <w:p>
      <w:pPr>
        <w:pStyle w:val="2"/>
      </w:pPr>
    </w:p>
    <w:p/>
    <w:p>
      <w:pPr>
        <w:pStyle w:val="2"/>
      </w:pPr>
    </w:p>
    <w:tbl>
      <w:tblPr>
        <w:tblStyle w:val="8"/>
        <w:tblpPr w:leftFromText="180" w:rightFromText="180" w:vertAnchor="text" w:horzAnchor="page" w:tblpX="1446" w:tblpY="9374"/>
        <w:tblOverlap w:val="never"/>
        <w:tblW w:w="9173"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7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173" w:type="dxa"/>
            <w:tcBorders>
              <w:top w:val="single" w:color="auto" w:sz="4" w:space="0"/>
              <w:left w:val="nil"/>
              <w:bottom w:val="single" w:color="auto" w:sz="4" w:space="0"/>
              <w:right w:val="nil"/>
            </w:tcBorders>
          </w:tcPr>
          <w:p>
            <w:pPr>
              <w:keepNext w:val="0"/>
              <w:keepLines w:val="0"/>
              <w:suppressLineNumbers w:val="0"/>
              <w:spacing w:before="0" w:beforeAutospacing="0" w:after="0" w:afterAutospacing="0" w:line="560" w:lineRule="exact"/>
              <w:ind w:left="1118" w:leftChars="116" w:right="0" w:hanging="840" w:hangingChars="300"/>
              <w:rPr>
                <w:rFonts w:hint="eastAsia" w:ascii="仿宋_GB2312" w:hAnsi="仿宋_GB2312" w:eastAsia="仿宋_GB2312" w:cs="仿宋_GB2312"/>
                <w:color w:val="auto"/>
                <w:kern w:val="2"/>
                <w:sz w:val="21"/>
                <w:lang w:val="en-US" w:eastAsia="zh-CN"/>
              </w:rPr>
            </w:pPr>
            <w:r>
              <w:rPr>
                <w:rFonts w:hint="eastAsia" w:ascii="仿宋_GB2312" w:hAnsi="仿宋_GB2312" w:eastAsia="仿宋_GB2312" w:cs="仿宋_GB2312"/>
                <w:color w:val="auto"/>
                <w:kern w:val="0"/>
                <w:sz w:val="28"/>
                <w:szCs w:val="28"/>
              </w:rPr>
              <w:t>抄送：</w:t>
            </w:r>
            <w:r>
              <w:rPr>
                <w:rFonts w:hint="eastAsia" w:ascii="仿宋_GB2312" w:hAnsi="仿宋_GB2312" w:eastAsia="仿宋_GB2312" w:cs="仿宋_GB2312"/>
                <w:color w:val="auto"/>
                <w:kern w:val="0"/>
                <w:sz w:val="28"/>
                <w:szCs w:val="28"/>
                <w:lang w:eastAsia="zh-CN"/>
              </w:rPr>
              <w:t>市教育体育局，</w:t>
            </w:r>
            <w:r>
              <w:rPr>
                <w:rFonts w:hint="eastAsia" w:ascii="仿宋_GB2312" w:hAnsi="仿宋_GB2312" w:eastAsia="仿宋_GB2312" w:cs="仿宋_GB2312"/>
                <w:color w:val="auto"/>
                <w:kern w:val="0"/>
                <w:sz w:val="28"/>
                <w:szCs w:val="28"/>
              </w:rPr>
              <w:t>市生态环境局</w:t>
            </w:r>
            <w:r>
              <w:rPr>
                <w:rFonts w:hint="eastAsia" w:ascii="仿宋_GB2312" w:hAnsi="仿宋_GB2312" w:eastAsia="仿宋_GB2312" w:cs="仿宋_GB2312"/>
                <w:color w:val="auto"/>
                <w:kern w:val="0"/>
                <w:sz w:val="28"/>
                <w:szCs w:val="28"/>
                <w:lang w:val="en-US" w:eastAsia="zh-CN"/>
              </w:rPr>
              <w:t>各科、室、支队、中心、站、临翔分局</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629" w:hRule="atLeast"/>
        </w:trPr>
        <w:tc>
          <w:tcPr>
            <w:tcW w:w="9173" w:type="dxa"/>
            <w:tcBorders>
              <w:top w:val="single" w:color="auto" w:sz="4" w:space="0"/>
              <w:left w:val="nil"/>
              <w:bottom w:val="single" w:color="auto" w:sz="4" w:space="0"/>
              <w:right w:val="nil"/>
            </w:tcBorders>
          </w:tcPr>
          <w:p>
            <w:pPr>
              <w:keepNext w:val="0"/>
              <w:keepLines w:val="0"/>
              <w:suppressLineNumbers w:val="0"/>
              <w:spacing w:before="0" w:beforeAutospacing="0" w:after="0" w:afterAutospacing="0" w:line="560" w:lineRule="exact"/>
              <w:ind w:left="0" w:right="0" w:firstLine="280" w:firstLineChars="100"/>
              <w:rPr>
                <w:rFonts w:hint="eastAsia" w:ascii="仿宋_GB2312" w:hAnsi="仿宋_GB2312" w:eastAsia="仿宋_GB2312" w:cs="仿宋_GB2312"/>
                <w:color w:val="auto"/>
                <w:kern w:val="2"/>
                <w:sz w:val="21"/>
                <w:lang w:eastAsia="zh-CN"/>
              </w:rPr>
            </w:pPr>
            <w:r>
              <w:rPr>
                <w:rFonts w:hint="eastAsia" w:ascii="仿宋_GB2312" w:hAnsi="仿宋_GB2312" w:eastAsia="仿宋_GB2312" w:cs="仿宋_GB2312"/>
                <w:color w:val="auto"/>
                <w:kern w:val="0"/>
                <w:sz w:val="28"/>
                <w:szCs w:val="28"/>
              </w:rPr>
              <w:t xml:space="preserve">临沧市生态环境局                 </w:t>
            </w:r>
            <w:r>
              <w:rPr>
                <w:rFonts w:hint="eastAsia" w:ascii="仿宋_GB2312" w:hAnsi="仿宋_GB2312" w:eastAsia="仿宋_GB2312" w:cs="仿宋_GB2312"/>
                <w:color w:val="auto"/>
                <w:kern w:val="0"/>
                <w:sz w:val="28"/>
                <w:szCs w:val="28"/>
                <w:lang w:val="en-US" w:eastAsia="zh-CN"/>
              </w:rPr>
              <w:t xml:space="preserve"> </w:t>
            </w:r>
            <w:r>
              <w:rPr>
                <w:rFonts w:hint="eastAsia" w:ascii="仿宋_GB2312" w:hAnsi="仿宋_GB2312" w:eastAsia="仿宋_GB2312" w:cs="仿宋_GB2312"/>
                <w:color w:val="auto"/>
                <w:kern w:val="0"/>
                <w:sz w:val="28"/>
                <w:szCs w:val="28"/>
              </w:rPr>
              <w:t xml:space="preserve">       </w:t>
            </w:r>
            <w:r>
              <w:rPr>
                <w:rFonts w:hint="eastAsia" w:ascii="仿宋_GB2312" w:hAnsi="仿宋_GB2312" w:eastAsia="仿宋_GB2312" w:cs="仿宋_GB2312"/>
                <w:color w:val="auto"/>
                <w:kern w:val="0"/>
                <w:sz w:val="28"/>
                <w:szCs w:val="28"/>
                <w:lang w:val="en-US" w:eastAsia="zh-CN"/>
              </w:rPr>
              <w:t xml:space="preserve">   2024</w:t>
            </w:r>
            <w:r>
              <w:rPr>
                <w:rFonts w:hint="eastAsia" w:ascii="仿宋_GB2312" w:hAnsi="仿宋_GB2312" w:eastAsia="仿宋_GB2312" w:cs="仿宋_GB2312"/>
                <w:color w:val="auto"/>
                <w:kern w:val="0"/>
                <w:sz w:val="28"/>
                <w:szCs w:val="28"/>
              </w:rPr>
              <w:t>年</w:t>
            </w:r>
            <w:r>
              <w:rPr>
                <w:rFonts w:hint="eastAsia" w:ascii="仿宋_GB2312" w:hAnsi="仿宋_GB2312" w:eastAsia="仿宋_GB2312" w:cs="仿宋_GB2312"/>
                <w:color w:val="auto"/>
                <w:kern w:val="0"/>
                <w:sz w:val="28"/>
                <w:szCs w:val="28"/>
                <w:lang w:val="en-US" w:eastAsia="zh-CN"/>
              </w:rPr>
              <w:t>3</w:t>
            </w:r>
            <w:r>
              <w:rPr>
                <w:rFonts w:hint="eastAsia" w:ascii="仿宋_GB2312" w:hAnsi="仿宋_GB2312" w:eastAsia="仿宋_GB2312" w:cs="仿宋_GB2312"/>
                <w:color w:val="auto"/>
                <w:kern w:val="0"/>
                <w:sz w:val="28"/>
                <w:szCs w:val="28"/>
              </w:rPr>
              <w:t>月</w:t>
            </w: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rPr>
              <w:t>日印</w:t>
            </w:r>
            <w:r>
              <w:rPr>
                <w:rFonts w:hint="eastAsia" w:ascii="仿宋_GB2312" w:hAnsi="仿宋_GB2312" w:eastAsia="仿宋_GB2312" w:cs="仿宋_GB2312"/>
                <w:color w:val="auto"/>
                <w:kern w:val="0"/>
                <w:sz w:val="28"/>
                <w:szCs w:val="28"/>
                <w:lang w:eastAsia="zh-CN"/>
              </w:rPr>
              <w:t>制</w:t>
            </w:r>
          </w:p>
        </w:tc>
      </w:tr>
    </w:tbl>
    <w:p/>
    <w:p>
      <w:pPr>
        <w:ind w:left="0" w:leftChars="0" w:firstLine="0" w:firstLineChars="0"/>
      </w:pPr>
    </w:p>
    <w:p>
      <w:pPr>
        <w:ind w:left="0" w:leftChars="0" w:firstLine="0" w:firstLineChars="0"/>
      </w:pPr>
    </w:p>
    <w:p>
      <w:pPr>
        <w:pStyle w:val="2"/>
      </w:pPr>
    </w:p>
    <w:p/>
    <w:sectPr>
      <w:footerReference r:id="rId5" w:type="default"/>
      <w:pgSz w:w="11906" w:h="16838"/>
      <w:pgMar w:top="2154" w:right="1474" w:bottom="2041" w:left="1531"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0922AD8-8B3A-4C56-889D-1BB8BC41784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BD60D3A6-9905-4DF2-B916-784AC580DE6C}"/>
  </w:font>
  <w:font w:name="方正小标宋_GBK">
    <w:panose1 w:val="02000000000000000000"/>
    <w:charset w:val="86"/>
    <w:family w:val="auto"/>
    <w:pitch w:val="default"/>
    <w:sig w:usb0="A00002BF" w:usb1="38CF7CFA" w:usb2="00082016" w:usb3="00000000" w:csb0="00040001" w:csb1="00000000"/>
    <w:embedRegular r:id="rId3" w:fontKey="{72760E92-E2D4-438A-AE68-DCEFEC656AE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2YWY2MzEyZGUwMDA5ODc3N2I5NTI5MDQ1NzM4YjcifQ=="/>
  </w:docVars>
  <w:rsids>
    <w:rsidRoot w:val="61FF7B53"/>
    <w:rsid w:val="007E634A"/>
    <w:rsid w:val="046C3791"/>
    <w:rsid w:val="05EE6E49"/>
    <w:rsid w:val="070A2A99"/>
    <w:rsid w:val="0D5B0F8B"/>
    <w:rsid w:val="0EB308D3"/>
    <w:rsid w:val="10832D78"/>
    <w:rsid w:val="11E9006E"/>
    <w:rsid w:val="1DD64BEF"/>
    <w:rsid w:val="1E495675"/>
    <w:rsid w:val="1E9A4AA2"/>
    <w:rsid w:val="247D4575"/>
    <w:rsid w:val="25556412"/>
    <w:rsid w:val="27E47529"/>
    <w:rsid w:val="2B243120"/>
    <w:rsid w:val="2B7E174D"/>
    <w:rsid w:val="3297344E"/>
    <w:rsid w:val="333149E1"/>
    <w:rsid w:val="395F137E"/>
    <w:rsid w:val="398B3419"/>
    <w:rsid w:val="3BFF7BF7"/>
    <w:rsid w:val="3E7C350D"/>
    <w:rsid w:val="41FC6367"/>
    <w:rsid w:val="45833DC6"/>
    <w:rsid w:val="48DB4BE2"/>
    <w:rsid w:val="4A4B6EDA"/>
    <w:rsid w:val="50191ED3"/>
    <w:rsid w:val="501F4F53"/>
    <w:rsid w:val="54226B0B"/>
    <w:rsid w:val="562C2C6E"/>
    <w:rsid w:val="577B30F6"/>
    <w:rsid w:val="5A9D1A52"/>
    <w:rsid w:val="608C7210"/>
    <w:rsid w:val="61696787"/>
    <w:rsid w:val="61FF7B53"/>
    <w:rsid w:val="63E6250C"/>
    <w:rsid w:val="66E07EBD"/>
    <w:rsid w:val="670B417B"/>
    <w:rsid w:val="69BD4C2B"/>
    <w:rsid w:val="6F602C29"/>
    <w:rsid w:val="745C44FA"/>
    <w:rsid w:val="74FC6F56"/>
    <w:rsid w:val="79465A41"/>
    <w:rsid w:val="7B33020B"/>
    <w:rsid w:val="7B4175C0"/>
    <w:rsid w:val="7C0642CC"/>
    <w:rsid w:val="7CAF565B"/>
    <w:rsid w:val="7CFE5333"/>
    <w:rsid w:val="7DFF8178"/>
    <w:rsid w:val="7EFEE5AE"/>
    <w:rsid w:val="BA7B23C6"/>
    <w:rsid w:val="C961A2AB"/>
    <w:rsid w:val="D67C1608"/>
    <w:rsid w:val="EBFB83D9"/>
    <w:rsid w:val="FE734873"/>
    <w:rsid w:val="FF87F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3">
    <w:name w:val="Normal Indent"/>
    <w:basedOn w:val="1"/>
    <w:qFormat/>
    <w:uiPriority w:val="0"/>
    <w:pPr>
      <w:ind w:firstLine="420" w:firstLineChars="200"/>
    </w:pPr>
  </w:style>
  <w:style w:type="paragraph" w:styleId="4">
    <w:name w:val="Body Text"/>
    <w:basedOn w:val="1"/>
    <w:next w:val="1"/>
    <w:qFormat/>
    <w:uiPriority w:val="0"/>
    <w:pPr>
      <w:widowControl/>
      <w:snapToGrid w:val="0"/>
      <w:spacing w:before="60" w:after="160" w:line="259" w:lineRule="auto"/>
      <w:ind w:right="113"/>
    </w:pPr>
    <w:rPr>
      <w:kern w:val="0"/>
      <w:sz w:val="18"/>
      <w:szCs w:val="20"/>
    </w:rPr>
  </w:style>
  <w:style w:type="paragraph" w:styleId="5">
    <w:name w:val="Plain Text"/>
    <w:basedOn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table" w:styleId="8">
    <w:name w:val="Table Grid"/>
    <w:basedOn w:val="7"/>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样式 标题 1 + 四号 段前: 0 磅 段后: 0 磅 行距: 1.5 倍行距"/>
    <w:basedOn w:val="11"/>
    <w:next w:val="1"/>
    <w:qFormat/>
    <w:uiPriority w:val="0"/>
    <w:pPr>
      <w:keepLines/>
      <w:spacing w:before="340" w:after="330"/>
      <w:jc w:val="center"/>
    </w:pPr>
    <w:rPr>
      <w:rFonts w:ascii="Calibri" w:hAnsi="黑体"/>
      <w:b/>
      <w:kern w:val="44"/>
      <w:sz w:val="21"/>
      <w:szCs w:val="24"/>
    </w:rPr>
  </w:style>
  <w:style w:type="paragraph" w:customStyle="1" w:styleId="11">
    <w:name w:val="1正文"/>
    <w:basedOn w:val="1"/>
    <w:semiHidden/>
    <w:qFormat/>
    <w:uiPriority w:val="0"/>
    <w:pPr>
      <w:spacing w:line="500" w:lineRule="exact"/>
      <w:ind w:firstLine="588" w:firstLineChars="196"/>
    </w:pPr>
    <w:rPr>
      <w:rFonts w:ascii="Calibri" w:hAnsi="Calibri" w:eastAsia="楷体_GB2312" w:cs="Times New Roman"/>
      <w:kern w:val="2"/>
      <w:sz w:val="30"/>
      <w:szCs w:val="30"/>
    </w:rPr>
  </w:style>
  <w:style w:type="paragraph" w:customStyle="1" w:styleId="12">
    <w:name w:val="正文（源通）"/>
    <w:basedOn w:val="1"/>
    <w:qFormat/>
    <w:uiPriority w:val="0"/>
    <w:pPr>
      <w:widowControl w:val="0"/>
      <w:spacing w:line="500" w:lineRule="exact"/>
      <w:ind w:firstLine="480" w:firstLineChars="200"/>
    </w:pPr>
    <w:rPr>
      <w:rFonts w:ascii="Times New Roman" w:hAnsi="Times New Roman" w:eastAsia="Times New Roman" w:cs="Times New Roman"/>
      <w:color w:val="FF0000"/>
    </w:rPr>
  </w:style>
  <w:style w:type="paragraph" w:customStyle="1" w:styleId="13">
    <w:name w:val="我的正文"/>
    <w:basedOn w:val="1"/>
    <w:qFormat/>
    <w:uiPriority w:val="0"/>
    <w:pPr>
      <w:adjustRightInd w:val="0"/>
      <w:snapToGrid w:val="0"/>
      <w:ind w:firstLine="20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2023-08-18T23:50:00Z</dcterms:created>
  <dc:creator>スーパーサイヤ人の神</dc:creator>
  <cp:lastModifiedBy>决眦</cp:lastModifiedBy>
  <cp:lastPrinted>2024-01-26T17:41:00Z</cp:lastPrinted>
  <dcterms:modified xsi:type="dcterms:W3CDTF">2024-03-12T06:49:53Z</dcterms:modified>
  <dc:title>临沧市生态环境局文件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9FA2E3979ED3437385D7444E1F6B20F5_13</vt:lpwstr>
  </property>
</Properties>
</file>